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jpeg" ContentType="image/jpeg"/>
  <Override PartName="/word/media/image5.png" ContentType="image/png"/>
  <Override PartName="/word/media/image3.jpeg" ContentType="image/jpeg"/>
  <Override PartName="/word/media/image4.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jc w:val="center"/>
        <w:rPr>
          <w:rFonts w:ascii="Cambria" w:hAnsi="Cambria"/>
          <w:color w:val="000000"/>
          <w:sz w:val="32"/>
          <w:szCs w:val="32"/>
        </w:rPr>
      </w:pPr>
      <w:r>
        <w:rPr/>
        <w:drawing>
          <wp:inline distT="0" distB="0" distL="0" distR="0">
            <wp:extent cx="3200400" cy="607060"/>
            <wp:effectExtent l="0" t="0" r="0" b="0"/>
            <wp:docPr id="1" name="Grafik 2"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agu_pubart-white_reduced"/>
                    <pic:cNvPicPr>
                      <a:picLocks noChangeAspect="1" noChangeArrowheads="1"/>
                    </pic:cNvPicPr>
                  </pic:nvPicPr>
                  <pic:blipFill>
                    <a:blip r:embed="rId2"/>
                    <a:stretch>
                      <a:fillRect/>
                    </a:stretch>
                  </pic:blipFill>
                  <pic:spPr bwMode="auto">
                    <a:xfrm>
                      <a:off x="0" y="0"/>
                      <a:ext cx="3200400" cy="607060"/>
                    </a:xfrm>
                    <a:prstGeom prst="rect">
                      <a:avLst/>
                    </a:prstGeom>
                  </pic:spPr>
                </pic:pic>
              </a:graphicData>
            </a:graphic>
          </wp:inline>
        </w:drawing>
      </w:r>
    </w:p>
    <w:p>
      <w:pPr>
        <w:pStyle w:val="Normal"/>
        <w:suppressLineNumbers/>
        <w:jc w:val="center"/>
        <w:rPr>
          <w:i/>
          <w:i/>
        </w:rPr>
      </w:pPr>
      <w:r>
        <w:rPr>
          <w:i/>
        </w:rPr>
        <w:t xml:space="preserve">Geochemistry, Geophysics, Geosystems </w:t>
      </w:r>
    </w:p>
    <w:p>
      <w:pPr>
        <w:pStyle w:val="Normal"/>
        <w:suppressLineNumbers/>
        <w:jc w:val="center"/>
        <w:rPr>
          <w:rFonts w:ascii="Cambria" w:hAnsi="Cambria"/>
          <w:color w:val="000000"/>
          <w:sz w:val="32"/>
          <w:szCs w:val="32"/>
        </w:rPr>
      </w:pPr>
      <w:r>
        <w:rPr/>
        <w:t>Supporting Information for</w:t>
      </w:r>
    </w:p>
    <w:p>
      <w:pPr>
        <w:pStyle w:val="Normal"/>
        <w:suppressLineNumbers/>
        <w:jc w:val="center"/>
        <w:rPr>
          <w:rFonts w:ascii="Cambria" w:hAnsi="Cambria"/>
          <w:bCs/>
          <w:color w:val="000000"/>
          <w:sz w:val="32"/>
          <w:szCs w:val="32"/>
        </w:rPr>
      </w:pPr>
      <w:r>
        <w:rPr>
          <w:rFonts w:ascii="Cambria" w:hAnsi="Cambria"/>
          <w:bCs/>
          <w:color w:val="000000"/>
          <w:sz w:val="32"/>
          <w:szCs w:val="32"/>
          <w:lang w:val="en-US"/>
        </w:rPr>
        <w:t>M</w:t>
      </w:r>
      <w:r>
        <w:rPr>
          <w:rFonts w:ascii="Cambria" w:hAnsi="Cambria"/>
          <w:bCs/>
          <w:color w:val="000000"/>
          <w:sz w:val="32"/>
          <w:szCs w:val="32"/>
        </w:rPr>
        <w:t>ulti-band Raman analysis of radiation damage in zircon for thermochronology: Partial annealing and mixed signals</w:t>
      </w:r>
    </w:p>
    <w:p>
      <w:pPr>
        <w:pStyle w:val="Normal"/>
        <w:suppressLineNumbers/>
        <w:tabs>
          <w:tab w:val="clear" w:pos="340"/>
          <w:tab w:val="left" w:pos="7078" w:leader="none"/>
        </w:tabs>
        <w:rPr>
          <w:rFonts w:ascii="Cambria" w:hAnsi="Cambria"/>
        </w:rPr>
      </w:pPr>
      <w:r>
        <w:rPr>
          <w:rFonts w:ascii="Cambria" w:hAnsi="Cambria"/>
        </w:rPr>
        <w:tab/>
      </w:r>
    </w:p>
    <w:p>
      <w:pPr>
        <w:pStyle w:val="Normal"/>
        <w:suppressLineNumbers/>
        <w:jc w:val="center"/>
        <w:rPr>
          <w:rFonts w:ascii="Cambria" w:hAnsi="Cambria"/>
          <w:bCs/>
        </w:rPr>
      </w:pPr>
      <w:r>
        <w:rPr>
          <w:rFonts w:ascii="Cambria" w:hAnsi="Cambria"/>
          <w:bCs/>
        </w:rPr>
        <w:t>Birk Härtel, Raymond Jonckheere, and Lothar Ratschbacher</w:t>
      </w:r>
    </w:p>
    <w:p>
      <w:pPr>
        <w:pStyle w:val="Normal"/>
        <w:suppressLineNumbers/>
        <w:spacing w:lineRule="auto" w:line="360"/>
        <w:jc w:val="center"/>
        <w:rPr>
          <w:rFonts w:ascii="Cambria" w:hAnsi="Cambria"/>
          <w:lang w:val="de-DE"/>
        </w:rPr>
      </w:pPr>
      <w:r>
        <w:rPr>
          <w:rFonts w:ascii="Cambria" w:hAnsi="Cambria"/>
          <w:lang w:val="de-DE"/>
        </w:rPr>
        <w:t>Geologie, TU Bergakademie Freiberg, 09599 Freiberg, Germany</w:t>
      </w:r>
    </w:p>
    <w:p>
      <w:pPr>
        <w:pStyle w:val="Title"/>
        <w:jc w:val="left"/>
        <w:rPr>
          <w:sz w:val="28"/>
          <w:szCs w:val="28"/>
        </w:rPr>
      </w:pPr>
      <w:r>
        <w:rPr>
          <w:rFonts w:ascii="Cambria" w:hAnsi="Cambria"/>
          <w:color w:val="000000"/>
          <w:sz w:val="28"/>
          <w:szCs w:val="28"/>
        </w:rPr>
        <w:t>Contents of this File</w:t>
      </w:r>
    </w:p>
    <w:p>
      <w:pPr>
        <w:pStyle w:val="Normal"/>
        <w:spacing w:before="0" w:after="0"/>
        <w:rPr>
          <w:rFonts w:ascii="Cambria" w:hAnsi="Cambria"/>
        </w:rPr>
      </w:pPr>
      <w:r>
        <w:rPr>
          <w:rFonts w:ascii="Cambria" w:hAnsi="Cambria"/>
        </w:rPr>
        <w:t>Text S1, S2, and S3</w:t>
      </w:r>
    </w:p>
    <w:p>
      <w:pPr>
        <w:pStyle w:val="Normal"/>
        <w:spacing w:before="0" w:after="0"/>
        <w:rPr>
          <w:rFonts w:ascii="Cambria" w:hAnsi="Cambria"/>
        </w:rPr>
      </w:pPr>
      <w:r>
        <w:rPr>
          <w:rFonts w:ascii="Cambria" w:hAnsi="Cambria"/>
        </w:rPr>
        <w:t>Figures S1, S2, S3, and S4</w:t>
      </w:r>
    </w:p>
    <w:p>
      <w:pPr>
        <w:pStyle w:val="Normal"/>
        <w:spacing w:before="0" w:after="0"/>
        <w:rPr>
          <w:rFonts w:ascii="Cambria" w:hAnsi="Cambria"/>
        </w:rPr>
      </w:pPr>
      <w:r>
        <w:rPr>
          <w:rFonts w:ascii="Cambria" w:hAnsi="Cambria"/>
        </w:rPr>
      </w:r>
    </w:p>
    <w:p>
      <w:pPr>
        <w:pStyle w:val="Normal"/>
        <w:spacing w:before="0" w:after="0"/>
        <w:rPr>
          <w:rFonts w:ascii="Cambria" w:hAnsi="Cambria"/>
          <w:b/>
          <w:b/>
          <w:sz w:val="28"/>
          <w:szCs w:val="28"/>
        </w:rPr>
      </w:pPr>
      <w:r>
        <w:rPr>
          <w:rFonts w:ascii="Cambria" w:hAnsi="Cambria"/>
          <w:b/>
          <w:sz w:val="28"/>
          <w:szCs w:val="28"/>
        </w:rPr>
        <w:t>Additional Supporting Information (Files uploaded separately)</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Tables T1 and T2</w:t>
      </w:r>
    </w:p>
    <w:p>
      <w:pPr>
        <w:pStyle w:val="FirstParagraph"/>
        <w:spacing w:before="0" w:after="0"/>
        <w:rPr>
          <w:rFonts w:ascii="Cambria" w:hAnsi="Cambria"/>
          <w:b/>
          <w:b/>
        </w:rPr>
      </w:pPr>
      <w:r>
        <w:rPr>
          <w:rFonts w:ascii="Cambria" w:hAnsi="Cambria"/>
          <w:b/>
        </w:rPr>
      </w:r>
    </w:p>
    <w:p>
      <w:pPr>
        <w:pStyle w:val="FirstParagraph"/>
        <w:spacing w:before="0" w:after="0"/>
        <w:rPr>
          <w:rFonts w:ascii="Cambria" w:hAnsi="Cambria"/>
          <w:b/>
          <w:b/>
          <w:sz w:val="28"/>
          <w:szCs w:val="28"/>
        </w:rPr>
      </w:pPr>
      <w:r>
        <w:rPr>
          <w:rFonts w:ascii="Cambria" w:hAnsi="Cambria"/>
          <w:b/>
          <w:sz w:val="28"/>
          <w:szCs w:val="28"/>
        </w:rPr>
        <w:t>Introduction</w:t>
      </w:r>
    </w:p>
    <w:p>
      <w:pPr>
        <w:pStyle w:val="FirstParagraph"/>
        <w:spacing w:before="0" w:after="0"/>
        <w:rPr>
          <w:rFonts w:ascii="Cambria" w:hAnsi="Cambria"/>
        </w:rPr>
      </w:pPr>
      <w:r>
        <w:rPr>
          <w:rFonts w:ascii="Cambria" w:hAnsi="Cambria"/>
        </w:rPr>
      </w:r>
    </w:p>
    <w:p>
      <w:pPr>
        <w:pStyle w:val="FirstParagraph"/>
        <w:spacing w:before="0" w:after="0"/>
        <w:jc w:val="both"/>
        <w:rPr/>
      </w:pPr>
      <w:r>
        <w:rPr>
          <w:rFonts w:ascii="Cambria" w:hAnsi="Cambria"/>
        </w:rPr>
        <w:t>This supporting information gives an overview about the samples from Myanmar; details of the pressure-temperature-time data will be published elsewhere. Texts S1 and S2 describe samples M71, K86, and K92, and derive temperature-time paths. Text S2 also describes sample K91, sampled near the locations of K86 and K92, in the Katha range of Myanmar, expected to have experienced a similar metamorphic overprint and temperature-time path. Text S3 discusses the forward modeling approach used to calculate the D</w:t>
      </w:r>
      <w:r>
        <w:rPr>
          <w:rFonts w:ascii="Cambria" w:hAnsi="Cambria"/>
          <w:vertAlign w:val="subscript"/>
        </w:rPr>
        <w:t>2</w:t>
      </w:r>
      <w:r>
        <w:rPr>
          <w:rFonts w:ascii="Cambria" w:hAnsi="Cambria"/>
        </w:rPr>
        <w:t>/D</w:t>
      </w:r>
      <w:r>
        <w:rPr>
          <w:rFonts w:ascii="Cambria" w:hAnsi="Cambria"/>
          <w:vertAlign w:val="subscript"/>
        </w:rPr>
        <w:t>ER</w:t>
      </w:r>
      <w:r>
        <w:rPr>
          <w:rFonts w:ascii="Cambria" w:hAnsi="Cambria"/>
        </w:rPr>
        <w:t>-D</w:t>
      </w:r>
      <w:r>
        <w:rPr>
          <w:rFonts w:ascii="Cambria" w:hAnsi="Cambria"/>
          <w:vertAlign w:val="subscript"/>
        </w:rPr>
        <w:t>ER</w:t>
      </w:r>
      <w:r>
        <w:rPr>
          <w:rFonts w:ascii="Cambria" w:hAnsi="Cambria"/>
        </w:rPr>
        <w:t xml:space="preserve"> trends shown in Figure 5 of the main text. Tables S1 and S2 list the zircon Raman data investigated in this study.</w:t>
      </w:r>
    </w:p>
    <w:p>
      <w:pPr>
        <w:pStyle w:val="FirstParagraph"/>
        <w:spacing w:before="0" w:after="0"/>
        <w:rPr>
          <w:rFonts w:ascii="Cambria" w:hAnsi="Cambria"/>
          <w:b/>
          <w:b/>
        </w:rPr>
      </w:pPr>
      <w:r>
        <w:rPr>
          <w:rFonts w:ascii="Cambria" w:hAnsi="Cambria"/>
          <w:b/>
        </w:rPr>
      </w:r>
    </w:p>
    <w:p>
      <w:pPr>
        <w:pStyle w:val="FirstParagraph"/>
        <w:spacing w:before="0" w:after="0"/>
        <w:rPr>
          <w:rFonts w:ascii="Cambria" w:hAnsi="Cambria"/>
        </w:rPr>
      </w:pPr>
      <w:r>
        <w:rPr>
          <w:rFonts w:ascii="Cambria" w:hAnsi="Cambria"/>
          <w:b/>
        </w:rPr>
        <w:t xml:space="preserve">Text S1. </w:t>
      </w:r>
      <w:r>
        <w:rPr>
          <w:rFonts w:cs="Calibri" w:ascii="Cambria" w:hAnsi="Cambria"/>
          <w:b/>
        </w:rPr>
        <w:t>NE Mogok belt, s</w:t>
      </w:r>
      <w:r>
        <w:rPr>
          <w:rFonts w:ascii="Cambria" w:hAnsi="Cambria"/>
          <w:b/>
        </w:rPr>
        <w:t>ample M71 (5371)</w:t>
      </w:r>
    </w:p>
    <w:p>
      <w:pPr>
        <w:pStyle w:val="Normal"/>
        <w:spacing w:before="0" w:after="0"/>
        <w:rPr>
          <w:rFonts w:ascii="Cambria" w:hAnsi="Cambria" w:cs="Calibri"/>
          <w:color w:val="000000" w:themeColor="text1"/>
        </w:rPr>
      </w:pPr>
      <w:r>
        <w:rPr>
          <w:rFonts w:cs="Calibri" w:ascii="Cambria" w:hAnsi="Cambria"/>
          <w:color w:val="000000" w:themeColor="text1"/>
        </w:rPr>
      </w:r>
    </w:p>
    <w:p>
      <w:pPr>
        <w:pStyle w:val="Normal"/>
        <w:spacing w:before="0" w:after="0"/>
        <w:rPr>
          <w:rFonts w:ascii="Cambria" w:hAnsi="Cambria" w:cs="Calibri"/>
          <w:color w:val="000000" w:themeColor="text1"/>
        </w:rPr>
      </w:pPr>
      <w:r>
        <w:rPr>
          <w:rFonts w:cs="Calibri" w:ascii="Cambria" w:hAnsi="Cambria"/>
          <w:color w:val="000000" w:themeColor="text1"/>
        </w:rPr>
        <w:t xml:space="preserve">Location: 24°14.125’ N, 97°23.401’ E, 178 m.  </w:t>
      </w:r>
    </w:p>
    <w:p>
      <w:pPr>
        <w:pStyle w:val="Normal"/>
        <w:spacing w:before="0" w:after="0"/>
        <w:jc w:val="both"/>
        <w:rPr/>
      </w:pPr>
      <w:r>
        <w:rPr>
          <w:rFonts w:cs="Calibri" w:ascii="Cambria" w:hAnsi="Cambria"/>
          <w:color w:val="000000" w:themeColor="text1"/>
        </w:rPr>
        <w:t>Petrology</w:t>
      </w:r>
      <w:r>
        <w:rPr>
          <w:rFonts w:cs="Calibri" w:ascii="Cambria" w:hAnsi="Cambria"/>
          <w:i/>
          <w:color w:val="000000" w:themeColor="text1"/>
        </w:rPr>
        <w:t xml:space="preserve">: </w:t>
      </w:r>
      <w:r>
        <w:rPr>
          <w:rFonts w:cs="Calibri" w:ascii="Cambria" w:hAnsi="Cambria"/>
          <w:color w:val="000000" w:themeColor="text1"/>
        </w:rPr>
        <w:t xml:space="preserve">Clinopyroxene-amphibole granite with aplite. Clinopyroxene, often mantled by amphibole, is diopside. Green amphibole is mostly hastingsite/magnesio-hastingsite. Granular plagioclase displays normal zoning. Porphyritic, cm-sized orthoclase shows perthitic unmixing and microcline twinning at its rims. Accessory minerals are biotite, ilmenite, zircon, and apatite. Ti-in-amphibole thermometry and Al-in-amphibole barometry </w:t>
      </w:r>
      <w:r>
        <w:rPr>
          <w:rFonts w:eastAsia="Calibri" w:cs="Calibri" w:ascii="Cambria" w:hAnsi="Cambria"/>
          <w:color w:val="000000" w:themeColor="text1"/>
        </w:rPr>
        <w:t>gave</w:t>
      </w:r>
      <w:r>
        <w:rPr>
          <w:rFonts w:cs="Calibri" w:ascii="Cambria" w:hAnsi="Cambria"/>
          <w:color w:val="000000" w:themeColor="text1"/>
        </w:rPr>
        <w:t xml:space="preserve"> pressure-temperature (P-T) conditions of 788 (±50) °C/0.43 (±0.06) GPa; these estimates model the magmatic crystallization of the amphibole core. </w:t>
      </w:r>
    </w:p>
    <w:p>
      <w:pPr>
        <w:pStyle w:val="Normal"/>
        <w:spacing w:before="0" w:after="0"/>
        <w:jc w:val="both"/>
        <w:rPr/>
      </w:pPr>
      <w:r>
        <w:rPr>
          <w:rFonts w:cs="Calibri" w:ascii="Cambria" w:hAnsi="Cambria"/>
          <w:color w:val="000000" w:themeColor="text1"/>
        </w:rPr>
        <w:t>Geo-Thermochronology: (a) Aplite. Zircon (U-Th)/He (ZHe) age is 15.8 ± 1.9 Ma (n = 2, 2s). Apatite fission track (AFT) age is 13.4 ± 2.0 Ma (2s). (b) Granite. SHRIMP U-Pb zircon youngest spot age is 36.8 ± 2.0 Ma (2s), which is interpreted to date crystallization; spot-age range from 64.0 to 50.3 is inheritance. AFT age is 13.5 ± 1.0 Ma (2s). Apatite (U-Th)/He (AHe) age is 11.1 ± 0.9 Ma (n = 2, 2s).</w:t>
      </w:r>
    </w:p>
    <w:p>
      <w:pPr>
        <w:pStyle w:val="Normal"/>
        <w:spacing w:before="0" w:after="0"/>
        <w:jc w:val="both"/>
        <w:rPr>
          <w:rFonts w:ascii="Cambria" w:hAnsi="Cambria" w:cs="Calibri"/>
          <w:color w:val="000000" w:themeColor="text1"/>
        </w:rPr>
      </w:pPr>
      <w:r>
        <w:rPr>
          <w:rFonts w:cs="Calibri" w:ascii="Cambria" w:hAnsi="Cambria"/>
          <w:color w:val="000000" w:themeColor="text1"/>
        </w:rPr>
        <w:t xml:space="preserve">Temperature-time (T-t) path: The granite crystallization temperature and its uncertainty </w:t>
      </w:r>
      <w:r>
        <w:rPr>
          <w:rFonts w:eastAsia="Calibri" w:cs="Calibri" w:ascii="Cambria" w:hAnsi="Cambria"/>
          <w:color w:val="000000" w:themeColor="text1"/>
        </w:rPr>
        <w:t>are interpreted</w:t>
      </w:r>
      <w:r>
        <w:rPr>
          <w:rFonts w:cs="Calibri" w:ascii="Cambria" w:hAnsi="Cambria"/>
          <w:color w:val="000000" w:themeColor="text1"/>
        </w:rPr>
        <w:t xml:space="preserve"> as the zircon crystallization temperature. In a first step, we determined the sample cooling rate using classic mineral closure temperatures (e.g., Carlson, 2011) for the employed thermochronometers. The closing temperatures were then refined using the diffusion parameters defined in Closure v. 1.2 (following earlier versions of Brandon et al., 1998) together with measured effective diffusion-domain dimensions (where applicable) and the cooling rate from the first step, i.e., 30 °C/Myr. The final cooling rate, shown in Figure S1, was obtained from an uncertainty-weighted linear regression with ≥10% uncertainties on the closing temperatures and 2s-uncertainties on the ages. The clos</w:t>
      </w:r>
      <w:r>
        <w:rPr>
          <w:rFonts w:cs="Calibri" w:ascii="Cambria" w:hAnsi="Cambria"/>
          <w:color w:val="000000" w:themeColor="text1"/>
          <w:sz w:val="24"/>
          <w:szCs w:val="24"/>
          <w:lang w:val="en-US"/>
        </w:rPr>
        <w:t>ure</w:t>
      </w:r>
      <w:r>
        <w:rPr>
          <w:rFonts w:cs="Calibri" w:ascii="Cambria" w:hAnsi="Cambria"/>
          <w:color w:val="000000" w:themeColor="text1"/>
        </w:rPr>
        <w:t xml:space="preserve"> temperatures and their uncertainties for the dates calculated from the zircon Raman bands ν</w:t>
      </w:r>
      <w:r>
        <w:rPr>
          <w:rFonts w:cs="Calibri" w:ascii="Cambria" w:hAnsi="Cambria"/>
          <w:color w:val="000000" w:themeColor="text1"/>
          <w:vertAlign w:val="subscript"/>
        </w:rPr>
        <w:t>2</w:t>
      </w:r>
      <w:r>
        <w:rPr>
          <w:rFonts w:cs="Calibri" w:ascii="Cambria" w:hAnsi="Cambria"/>
          <w:color w:val="000000" w:themeColor="text1"/>
        </w:rPr>
        <w:t>, ν</w:t>
      </w:r>
      <w:r>
        <w:rPr>
          <w:rFonts w:cs="Calibri" w:ascii="Cambria" w:hAnsi="Cambria"/>
          <w:color w:val="000000" w:themeColor="text1"/>
          <w:vertAlign w:val="subscript"/>
        </w:rPr>
        <w:t>3</w:t>
      </w:r>
      <w:r>
        <w:rPr>
          <w:rFonts w:cs="Calibri" w:ascii="Cambria" w:hAnsi="Cambria"/>
          <w:color w:val="000000" w:themeColor="text1"/>
        </w:rPr>
        <w:t>, and ER are those of Härtel et al. (2021). We conclude that sample M71 cooled rapidly after emplacement.</w:t>
      </w:r>
    </w:p>
    <w:p>
      <w:pPr>
        <w:pStyle w:val="Normal"/>
        <w:spacing w:before="0" w:after="0"/>
        <w:jc w:val="both"/>
        <w:rPr/>
      </w:pPr>
      <w:r>
        <w:rPr/>
      </w:r>
    </w:p>
    <w:p>
      <w:pPr>
        <w:pStyle w:val="Normal"/>
        <w:spacing w:before="0" w:after="0"/>
        <w:rPr>
          <w:rFonts w:ascii="Cambria" w:hAnsi="Cambria" w:cs="Calibri"/>
          <w:color w:val="000000" w:themeColor="text1"/>
        </w:rPr>
      </w:pPr>
      <w:r>
        <w:rPr/>
        <mc:AlternateContent>
          <mc:Choice Requires="wps">
            <w:drawing>
              <wp:anchor behindDoc="0" distT="81280" distB="81280" distL="149225" distR="149860" simplePos="0" locked="0" layoutInCell="0" allowOverlap="1" relativeHeight="5" wp14:anchorId="50E2F12B">
                <wp:simplePos x="0" y="0"/>
                <wp:positionH relativeFrom="margin">
                  <wp:align>right</wp:align>
                </wp:positionH>
                <wp:positionV relativeFrom="paragraph">
                  <wp:posOffset>91440</wp:posOffset>
                </wp:positionV>
                <wp:extent cx="2303780" cy="447675"/>
                <wp:effectExtent l="0" t="0" r="635" b="0"/>
                <wp:wrapSquare wrapText="bothSides"/>
                <wp:docPr id="2" name="Textfeld 2"/>
                <a:graphic xmlns:a="http://schemas.openxmlformats.org/drawingml/2006/main">
                  <a:graphicData uri="http://schemas.microsoft.com/office/word/2010/wordprocessingShape">
                    <wps:wsp>
                      <wps:cNvSpPr/>
                      <wps:spPr>
                        <a:xfrm>
                          <a:off x="0" y="0"/>
                          <a:ext cx="2303280" cy="44712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rFonts w:ascii="Cambria" w:hAnsi="Cambria"/>
                                <w:color w:val="000000"/>
                              </w:rPr>
                            </w:pPr>
                            <w:r>
                              <w:rPr>
                                <w:rFonts w:ascii="Cambria" w:hAnsi="Cambria"/>
                                <w:b/>
                                <w:bCs/>
                                <w:color w:val="000000"/>
                              </w:rPr>
                              <w:t>Figure S1.</w:t>
                            </w:r>
                            <w:r>
                              <w:rPr>
                                <w:rFonts w:ascii="Cambria" w:hAnsi="Cambria"/>
                                <w:color w:val="000000"/>
                              </w:rPr>
                              <w:t xml:space="preserve"> Temperature-time path for sample M71.</w:t>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id="shape_0" ID="Textfeld 2" path="m0,0l-2147483645,0l-2147483645,-2147483646l0,-2147483646xe" fillcolor="white" stroked="f" o:allowincell="f" style="position:absolute;margin-left:260.7pt;margin-top:7.2pt;width:181.3pt;height:35.15pt;mso-wrap-style:square;v-text-anchor:top;mso-position-horizontal:right;mso-position-horizontal-relative:margin" wp14:anchorId="50E2F12B">
                <v:fill o:detectmouseclick="t" type="solid" color2="black"/>
                <v:stroke color="#3465a4" weight="9360" joinstyle="round" endcap="flat"/>
                <v:textbox>
                  <w:txbxContent>
                    <w:p>
                      <w:pPr>
                        <w:pStyle w:val="FrameContents"/>
                        <w:spacing w:before="0" w:after="200"/>
                        <w:rPr>
                          <w:rFonts w:ascii="Cambria" w:hAnsi="Cambria"/>
                          <w:color w:val="000000"/>
                        </w:rPr>
                      </w:pPr>
                      <w:r>
                        <w:rPr>
                          <w:rFonts w:ascii="Cambria" w:hAnsi="Cambria"/>
                          <w:b/>
                          <w:bCs/>
                          <w:color w:val="000000"/>
                        </w:rPr>
                        <w:t>Figure S1.</w:t>
                      </w:r>
                      <w:r>
                        <w:rPr>
                          <w:rFonts w:ascii="Cambria" w:hAnsi="Cambria"/>
                          <w:color w:val="000000"/>
                        </w:rPr>
                        <w:t xml:space="preserve"> Temperature-time path for sample M71.</w:t>
                      </w:r>
                    </w:p>
                  </w:txbxContent>
                </v:textbox>
                <w10:wrap type="square"/>
              </v:rect>
            </w:pict>
          </mc:Fallback>
        </mc:AlternateContent>
        <w:drawing>
          <wp:inline distT="0" distB="0" distL="0" distR="0">
            <wp:extent cx="2974975" cy="298704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2974975" cy="2987040"/>
                    </a:xfrm>
                    <a:prstGeom prst="rect">
                      <a:avLst/>
                    </a:prstGeom>
                  </pic:spPr>
                </pic:pic>
              </a:graphicData>
            </a:graphic>
          </wp:inline>
        </w:drawing>
      </w:r>
    </w:p>
    <w:p>
      <w:pPr>
        <w:pStyle w:val="Normal"/>
        <w:spacing w:before="0" w:after="0"/>
        <w:rPr>
          <w:rFonts w:ascii="Cambria" w:hAnsi="Cambria" w:cs="Calibri"/>
          <w:color w:val="000000" w:themeColor="text1"/>
        </w:rPr>
      </w:pPr>
      <w:r>
        <w:rPr>
          <w:rFonts w:cs="Calibri" w:ascii="Cambria" w:hAnsi="Cambria"/>
          <w:color w:val="000000" w:themeColor="text1"/>
        </w:rPr>
      </w:r>
    </w:p>
    <w:p>
      <w:pPr>
        <w:pStyle w:val="TextBody"/>
        <w:spacing w:before="0" w:after="0"/>
        <w:rPr>
          <w:rFonts w:ascii="Cambria" w:hAnsi="Cambria"/>
          <w:color w:val="000000" w:themeColor="text1"/>
        </w:rPr>
      </w:pPr>
      <w:r>
        <w:rPr>
          <w:rFonts w:ascii="Cambria" w:hAnsi="Cambria"/>
          <w:color w:val="000000" w:themeColor="text1"/>
        </w:rPr>
      </w:r>
    </w:p>
    <w:p>
      <w:pPr>
        <w:pStyle w:val="TextBody"/>
        <w:spacing w:before="0" w:after="0"/>
        <w:rPr>
          <w:rFonts w:ascii="Cambria" w:hAnsi="Cambria"/>
          <w:color w:val="000000" w:themeColor="text1"/>
        </w:rPr>
      </w:pPr>
      <w:r>
        <w:rPr>
          <w:rFonts w:ascii="Cambria" w:hAnsi="Cambria"/>
          <w:b/>
          <w:color w:val="000000" w:themeColor="text1"/>
        </w:rPr>
        <w:t>Text S2. Katha-range sample series K86 (5386), K91 (5391), and K92 (5392)</w:t>
      </w:r>
    </w:p>
    <w:p>
      <w:pPr>
        <w:pStyle w:val="Normal"/>
        <w:spacing w:before="0" w:after="0"/>
        <w:rPr>
          <w:rFonts w:ascii="Cambria" w:hAnsi="Cambria" w:cs="Calibri"/>
          <w:color w:val="000000" w:themeColor="text1"/>
        </w:rPr>
      </w:pPr>
      <w:r>
        <w:rPr>
          <w:rFonts w:cs="Calibri" w:ascii="Cambria" w:hAnsi="Cambria"/>
          <w:color w:val="000000" w:themeColor="text1"/>
        </w:rPr>
      </w:r>
    </w:p>
    <w:p>
      <w:pPr>
        <w:pStyle w:val="Normal"/>
        <w:spacing w:before="0" w:after="0"/>
        <w:rPr>
          <w:rFonts w:ascii="Cambria" w:hAnsi="Cambria" w:cs="Calibri"/>
          <w:color w:val="000000" w:themeColor="text1"/>
        </w:rPr>
      </w:pPr>
      <w:r>
        <w:rPr>
          <w:rFonts w:cs="Calibri" w:ascii="Cambria" w:hAnsi="Cambria"/>
          <w:color w:val="000000" w:themeColor="text1"/>
        </w:rPr>
        <w:t>K86</w:t>
      </w:r>
    </w:p>
    <w:p>
      <w:pPr>
        <w:pStyle w:val="Normal"/>
        <w:spacing w:before="0" w:after="0"/>
        <w:rPr>
          <w:rFonts w:ascii="Cambria" w:hAnsi="Cambria" w:cs="Calibri"/>
          <w:color w:val="000000" w:themeColor="text1"/>
        </w:rPr>
      </w:pPr>
      <w:r>
        <w:rPr>
          <w:rFonts w:cs="Calibri" w:ascii="Cambria" w:hAnsi="Cambria"/>
          <w:color w:val="000000" w:themeColor="text1"/>
        </w:rPr>
        <w:t xml:space="preserve">Location: 24°14.317’ N, 96°11.420’ E, 157 m.  </w:t>
      </w:r>
    </w:p>
    <w:p>
      <w:pPr>
        <w:pStyle w:val="Normal"/>
        <w:spacing w:before="0" w:after="0"/>
        <w:jc w:val="both"/>
        <w:rPr/>
      </w:pPr>
      <w:r>
        <w:rPr>
          <w:rFonts w:cs="Calibri" w:ascii="Cambria" w:hAnsi="Cambria"/>
          <w:color w:val="000000" w:themeColor="text1"/>
        </w:rPr>
        <w:t>Petrology</w:t>
      </w:r>
      <w:r>
        <w:rPr>
          <w:rFonts w:cs="Calibri" w:ascii="Cambria" w:hAnsi="Cambria"/>
          <w:i/>
          <w:color w:val="000000" w:themeColor="text1"/>
        </w:rPr>
        <w:t xml:space="preserve">: </w:t>
      </w:r>
      <w:r>
        <w:rPr>
          <w:rFonts w:cs="Calibri" w:ascii="Cambria" w:hAnsi="Cambria"/>
          <w:color w:val="000000" w:themeColor="text1"/>
        </w:rPr>
        <w:t xml:space="preserve">Meta-acidic tectonite with aligned white mica and large modal amounts of quartz (some porphyritic). Other minerals are feldspar intergrown with white mica, zircon, apatite, sphene, opaques, tourmaline, and rare rutile. The protolith of the gneiss is interpreted as a hypabyssal granitoid or volcanic rock. </w:t>
      </w:r>
    </w:p>
    <w:p>
      <w:pPr>
        <w:pStyle w:val="Normal"/>
        <w:spacing w:before="0" w:after="0"/>
        <w:jc w:val="both"/>
        <w:rPr/>
      </w:pPr>
      <w:r>
        <w:rPr>
          <w:rFonts w:cs="Calibri" w:ascii="Cambria" w:hAnsi="Cambria"/>
          <w:color w:val="000000" w:themeColor="text1"/>
        </w:rPr>
        <w:t xml:space="preserve">Geo-Thermochronology: Combined SHRIMP and LA-ICP-MS data yielded a U-Pb zircon crystallization age at 501.1 ± 8.6 Ma, with inheritance at 549.2 ± 4.8 Ma and 1118.1 ± 6.6 Ma (2s); LA-ICP-MS U-Pb rutile data define a range of chiefly discordant data with inheritance at 949 ± 12 Ma; the youngest dates define a lower intercept date of 35.8 ± 3.6 Ma (n = 8) with a non-Stacey–Kramers (Stacey and Kramers, 1975) </w:t>
      </w:r>
      <w:r>
        <w:rPr>
          <w:rFonts w:cs="Calibri" w:ascii="Cambria" w:hAnsi="Cambria"/>
          <w:color w:val="000000" w:themeColor="text1"/>
          <w:vertAlign w:val="superscript"/>
        </w:rPr>
        <w:t>207</w:t>
      </w:r>
      <w:r>
        <w:rPr>
          <w:rFonts w:cs="Calibri" w:ascii="Cambria" w:hAnsi="Cambria"/>
          <w:color w:val="000000" w:themeColor="text1"/>
        </w:rPr>
        <w:t>Pb/</w:t>
      </w:r>
      <w:r>
        <w:rPr>
          <w:rFonts w:cs="Calibri" w:ascii="Cambria" w:hAnsi="Cambria"/>
          <w:color w:val="000000" w:themeColor="text1"/>
          <w:vertAlign w:val="superscript"/>
        </w:rPr>
        <w:t>206</w:t>
      </w:r>
      <w:r>
        <w:rPr>
          <w:rFonts w:cs="Calibri" w:ascii="Cambria" w:hAnsi="Cambria"/>
          <w:color w:val="000000" w:themeColor="text1"/>
        </w:rPr>
        <w:t xml:space="preserve">Pb intercept. </w:t>
      </w:r>
      <w:r>
        <w:rPr>
          <w:rFonts w:cs="Calibri" w:ascii="Cambria" w:hAnsi="Cambria"/>
          <w:color w:val="000000" w:themeColor="text1"/>
          <w:vertAlign w:val="superscript"/>
        </w:rPr>
        <w:t>40</w:t>
      </w:r>
      <w:r>
        <w:rPr>
          <w:rFonts w:cs="Calibri" w:ascii="Cambria" w:hAnsi="Cambria"/>
          <w:color w:val="000000" w:themeColor="text1"/>
        </w:rPr>
        <w:t>Ar/</w:t>
      </w:r>
      <w:r>
        <w:rPr>
          <w:rFonts w:cs="Calibri" w:ascii="Cambria" w:hAnsi="Cambria"/>
          <w:color w:val="000000" w:themeColor="text1"/>
          <w:vertAlign w:val="superscript"/>
        </w:rPr>
        <w:t>39</w:t>
      </w:r>
      <w:r>
        <w:rPr>
          <w:rFonts w:cs="Calibri" w:ascii="Cambria" w:hAnsi="Cambria"/>
          <w:color w:val="000000" w:themeColor="text1"/>
        </w:rPr>
        <w:t>Ar white mica age is 39.3 ± 0.4 Ma (separate 1) and 38 ± 1 Ma (separate 2). Zircon (U-Th)/He (ZHe) age is 32.1 ± 4.2 Ma (n = 3).</w:t>
      </w:r>
    </w:p>
    <w:p>
      <w:pPr>
        <w:pStyle w:val="Normal"/>
        <w:spacing w:before="0" w:after="0"/>
        <w:jc w:val="both"/>
        <w:rPr>
          <w:rFonts w:ascii="Cambria" w:hAnsi="Cambria" w:cs="Calibri"/>
          <w:color w:val="000000" w:themeColor="text1"/>
        </w:rPr>
      </w:pPr>
      <w:r>
        <w:rPr>
          <w:rFonts w:cs="Calibri" w:ascii="Cambria" w:hAnsi="Cambria"/>
          <w:color w:val="000000" w:themeColor="text1"/>
        </w:rPr>
      </w:r>
    </w:p>
    <w:p>
      <w:pPr>
        <w:pStyle w:val="Normal"/>
        <w:spacing w:before="0" w:after="0"/>
        <w:jc w:val="both"/>
        <w:rPr>
          <w:rFonts w:ascii="Cambria" w:hAnsi="Cambria" w:cs="Calibri"/>
          <w:color w:val="000000" w:themeColor="text1"/>
        </w:rPr>
      </w:pPr>
      <w:r>
        <w:rPr>
          <w:rFonts w:cs="Calibri" w:ascii="Cambria" w:hAnsi="Cambria"/>
          <w:color w:val="000000" w:themeColor="text1"/>
        </w:rPr>
      </w:r>
    </w:p>
    <w:p>
      <w:pPr>
        <w:pStyle w:val="Normal"/>
        <w:spacing w:before="0" w:after="0"/>
        <w:jc w:val="both"/>
        <w:rPr/>
      </w:pPr>
      <w:r>
        <w:rPr>
          <w:rFonts w:cs="Calibri" w:ascii="Cambria" w:hAnsi="Cambria"/>
          <w:color w:val="000000" w:themeColor="text1"/>
        </w:rPr>
        <w:t>K91</w:t>
      </w:r>
    </w:p>
    <w:p>
      <w:pPr>
        <w:pStyle w:val="Normal"/>
        <w:spacing w:before="0" w:after="0"/>
        <w:jc w:val="both"/>
        <w:rPr/>
      </w:pPr>
      <w:r>
        <w:rPr>
          <w:rFonts w:cs="Calibri" w:ascii="Cambria" w:hAnsi="Cambria"/>
          <w:color w:val="000000" w:themeColor="text1"/>
        </w:rPr>
        <w:t>Location: 24°14.767’ N, 96°14.934’ E, 264 m</w:t>
      </w:r>
    </w:p>
    <w:p>
      <w:pPr>
        <w:pStyle w:val="Normal"/>
        <w:spacing w:before="0" w:after="0"/>
        <w:jc w:val="both"/>
        <w:rPr/>
      </w:pPr>
      <w:r>
        <w:rPr>
          <w:rFonts w:cs="Calibri" w:ascii="Cambria" w:hAnsi="Cambria"/>
          <w:color w:val="000000" w:themeColor="text1"/>
        </w:rPr>
        <w:t xml:space="preserve">Petrology: Porphyroblastic chlorite-chloritoid-garnet micaschist (meta-pelite) tectonite (host rock of K86 and K92). </w:t>
      </w:r>
      <w:r>
        <w:rPr>
          <w:rFonts w:eastAsia="Calibri" w:cs="Calibri" w:ascii="Cambria" w:hAnsi="Cambria"/>
          <w:color w:val="000000" w:themeColor="text1"/>
        </w:rPr>
        <w:t>E</w:t>
      </w:r>
      <w:r>
        <w:rPr>
          <w:rFonts w:cs="Calibri" w:ascii="Cambria" w:hAnsi="Cambria"/>
          <w:color w:val="000000" w:themeColor="text1"/>
        </w:rPr>
        <w:t>uhedral, poikiloblastic garnet has inclusions of quartz, chloritoid, chlorite, and ilmenite. Green chlorite is in a contact paragenesis with chloritoid. Phengite shows irregular zonation. Accessories are ilmenite, apatite, zircon, and rare rutile. Equilibrium assemblage calculations yielded peak-metamorphic P-T conditions of 497-511°C at 0.85-0.96 GPa, supported by conventional thermometry.</w:t>
      </w:r>
    </w:p>
    <w:p>
      <w:pPr>
        <w:pStyle w:val="Normal"/>
        <w:spacing w:before="0" w:after="0"/>
        <w:jc w:val="both"/>
        <w:rPr/>
      </w:pPr>
      <w:r>
        <w:rPr>
          <w:rFonts w:cs="Calibri" w:ascii="Cambria" w:hAnsi="Cambria"/>
          <w:color w:val="000000" w:themeColor="text1"/>
        </w:rPr>
        <w:t xml:space="preserve">Geo-Thermochronology: Sample A, </w:t>
      </w:r>
      <w:r>
        <w:rPr>
          <w:rFonts w:cs="Calibri" w:ascii="Cambria" w:hAnsi="Cambria"/>
          <w:color w:val="000000" w:themeColor="text1"/>
          <w:vertAlign w:val="superscript"/>
        </w:rPr>
        <w:t>40</w:t>
      </w:r>
      <w:r>
        <w:rPr>
          <w:rFonts w:cs="Calibri" w:ascii="Cambria" w:hAnsi="Cambria"/>
          <w:color w:val="000000" w:themeColor="text1"/>
        </w:rPr>
        <w:t>Ar/</w:t>
      </w:r>
      <w:r>
        <w:rPr>
          <w:rFonts w:cs="Calibri" w:ascii="Cambria" w:hAnsi="Cambria"/>
          <w:color w:val="000000" w:themeColor="text1"/>
          <w:vertAlign w:val="superscript"/>
        </w:rPr>
        <w:t>39</w:t>
      </w:r>
      <w:r>
        <w:rPr>
          <w:rFonts w:cs="Calibri" w:ascii="Cambria" w:hAnsi="Cambria"/>
          <w:color w:val="000000" w:themeColor="text1"/>
        </w:rPr>
        <w:t>Ar biotite age is 31.6 ± 5.6 Ma (2s). ZHe age is 28.5 ± 2.0 Ma (n = 2, 2s). AFT age is 13.9 ± 1.8 Ma. Sample B, LA-ICP-MS U-Pb rutile age with 8 spots is 453 ± 8 Ma (detrital inheritance). A Rb-Sr isochron, with 2 whole rock and 2 white mica separates, yielded 55.1 ± 3.5 Ma (2s). AFT age is 15.5 ± 10.0 Ma (2s).</w:t>
      </w:r>
    </w:p>
    <w:p>
      <w:pPr>
        <w:pStyle w:val="Normal"/>
        <w:spacing w:before="0" w:after="0"/>
        <w:jc w:val="both"/>
        <w:rPr>
          <w:rFonts w:ascii="Cambria" w:hAnsi="Cambria" w:cs="Calibri"/>
          <w:color w:val="000000" w:themeColor="text1"/>
        </w:rPr>
      </w:pPr>
      <w:r>
        <w:rPr>
          <w:rFonts w:cs="Calibri" w:ascii="Cambria" w:hAnsi="Cambria"/>
          <w:color w:val="000000" w:themeColor="text1"/>
        </w:rPr>
      </w:r>
    </w:p>
    <w:p>
      <w:pPr>
        <w:pStyle w:val="Normal"/>
        <w:spacing w:before="0" w:after="0"/>
        <w:jc w:val="both"/>
        <w:rPr/>
      </w:pPr>
      <w:r>
        <w:rPr>
          <w:rFonts w:cs="Calibri" w:ascii="Cambria" w:hAnsi="Cambria"/>
          <w:color w:val="000000" w:themeColor="text1"/>
        </w:rPr>
        <w:t>K92</w:t>
      </w:r>
    </w:p>
    <w:p>
      <w:pPr>
        <w:pStyle w:val="Normal"/>
        <w:spacing w:before="0" w:after="0"/>
        <w:jc w:val="both"/>
        <w:rPr/>
      </w:pPr>
      <w:r>
        <w:rPr>
          <w:rFonts w:cs="Calibri" w:ascii="Cambria" w:hAnsi="Cambria"/>
          <w:color w:val="000000" w:themeColor="text1"/>
        </w:rPr>
        <w:t>Location: 24°14.258’ N, 96°11.470’ E, 182 m</w:t>
      </w:r>
    </w:p>
    <w:p>
      <w:pPr>
        <w:pStyle w:val="Normal"/>
        <w:spacing w:before="0" w:after="0"/>
        <w:jc w:val="both"/>
        <w:rPr/>
      </w:pPr>
      <w:r>
        <w:rPr>
          <w:rFonts w:cs="Calibri" w:ascii="Cambria" w:hAnsi="Cambria"/>
          <w:color w:val="000000" w:themeColor="text1"/>
        </w:rPr>
        <w:t>Petrology: Meta-acidic tectonite, interpreted as a hypabyssal granitoid or volcanic rock.</w:t>
      </w:r>
    </w:p>
    <w:p>
      <w:pPr>
        <w:pStyle w:val="Normal"/>
        <w:spacing w:before="0" w:after="0"/>
        <w:jc w:val="both"/>
        <w:rPr>
          <w:rFonts w:ascii="Cambria" w:hAnsi="Cambria" w:cs="Calibri"/>
          <w:color w:val="000000" w:themeColor="text1"/>
        </w:rPr>
      </w:pPr>
      <w:r>
        <w:rPr>
          <w:rFonts w:cs="Calibri" w:ascii="Cambria" w:hAnsi="Cambria"/>
          <w:color w:val="000000" w:themeColor="text1"/>
        </w:rPr>
        <w:t>Geo-Thermochronology: LA-ICP-MS U-Pb zircon data indicate crystallization at 530 ± 11 Ma (2s), with inheritance at 714 ± 15, 1077 ± 20, and 1120 ± 22 Ma (2% uncertainty). Zircon fission-track (ZFT) age is 30.6 ± 3.8 Ma (2s).</w:t>
      </w:r>
    </w:p>
    <w:p>
      <w:pPr>
        <w:pStyle w:val="Normal"/>
        <w:spacing w:before="0" w:after="0"/>
        <w:jc w:val="both"/>
        <w:rPr>
          <w:rFonts w:ascii="Cambria" w:hAnsi="Cambria" w:cs="Calibri"/>
          <w:color w:val="000000" w:themeColor="text1"/>
        </w:rPr>
      </w:pPr>
      <w:r>
        <w:rPr>
          <w:rFonts w:cs="Calibri" w:ascii="Cambria" w:hAnsi="Cambria"/>
          <w:color w:val="000000" w:themeColor="text1"/>
        </w:rPr>
      </w:r>
    </w:p>
    <w:p>
      <w:pPr>
        <w:pStyle w:val="Normal"/>
        <w:spacing w:before="0" w:after="0"/>
        <w:jc w:val="both"/>
        <w:rPr/>
      </w:pPr>
      <w:r>
        <w:rPr>
          <w:rFonts w:cs="Calibri" w:ascii="Cambria" w:hAnsi="Cambria"/>
          <w:color w:val="000000" w:themeColor="text1"/>
        </w:rPr>
        <w:t>Temperature-time (T-t) path (Katha-range path: samples K86, K91, K92): The magmatic crystallization temperatures for the Cambrian igneous crystallization were assumed at 700 ± 50 °C. The magmatic cooling was derived from the clos</w:t>
      </w:r>
      <w:r>
        <w:rPr>
          <w:rFonts w:eastAsia="Calibri" w:cs="Calibri" w:ascii="Cambria" w:hAnsi="Cambria"/>
          <w:color w:val="000000" w:themeColor="text1"/>
        </w:rPr>
        <w:t>ure</w:t>
      </w:r>
      <w:r>
        <w:rPr>
          <w:rFonts w:cs="Calibri" w:ascii="Cambria" w:hAnsi="Cambria"/>
          <w:color w:val="000000" w:themeColor="text1"/>
        </w:rPr>
        <w:t xml:space="preserve"> temperature difference between the U-Pb zircon and rutile systems; its low-temperature evolution is unconstrained. The peak of the Cenozoic reheating is constrained by the equilibrium assemblage calculations for sample K91. The Cenozoic cooling path was obtained as for sample M71. The closure temperatures and their uncertainties for the zircon Raman bands ν</w:t>
      </w:r>
      <w:r>
        <w:rPr>
          <w:rFonts w:cs="Calibri" w:ascii="Cambria" w:hAnsi="Cambria"/>
          <w:color w:val="000000" w:themeColor="text1"/>
          <w:vertAlign w:val="subscript"/>
        </w:rPr>
        <w:t>2</w:t>
      </w:r>
      <w:r>
        <w:rPr>
          <w:rFonts w:cs="Calibri" w:ascii="Cambria" w:hAnsi="Cambria"/>
          <w:color w:val="000000" w:themeColor="text1"/>
        </w:rPr>
        <w:t>, ν</w:t>
      </w:r>
      <w:r>
        <w:rPr>
          <w:rFonts w:cs="Calibri" w:ascii="Cambria" w:hAnsi="Cambria"/>
          <w:color w:val="000000" w:themeColor="text1"/>
          <w:vertAlign w:val="subscript"/>
        </w:rPr>
        <w:t>3</w:t>
      </w:r>
      <w:r>
        <w:rPr>
          <w:rFonts w:cs="Calibri" w:ascii="Cambria" w:hAnsi="Cambria"/>
          <w:color w:val="000000" w:themeColor="text1"/>
        </w:rPr>
        <w:t>, and ER are those of Härtel et al. (2021). We conclude that the Katha-range samples are Cambrian igneous and metasedimentary rocks that were reheated during Cenozoic burial and exhumed rapidly thereafter.</w:t>
      </w:r>
    </w:p>
    <w:p>
      <w:pPr>
        <w:pStyle w:val="Normal"/>
        <w:rPr>
          <w:rFonts w:ascii="Cambria" w:hAnsi="Cambria"/>
        </w:rPr>
      </w:pPr>
      <w:r>
        <w:rPr>
          <w:rFonts w:ascii="Cambria" w:hAnsi="Cambria"/>
        </w:rPr>
      </w:r>
    </w:p>
    <w:p>
      <w:pPr>
        <w:pStyle w:val="Normal"/>
        <w:spacing w:before="0" w:after="0"/>
        <w:rPr>
          <w:rFonts w:ascii="Cambria" w:hAnsi="Cambria"/>
        </w:rPr>
      </w:pPr>
      <w:r>
        <w:rPr/>
        <mc:AlternateContent>
          <mc:Choice Requires="wps">
            <w:drawing>
              <wp:anchor behindDoc="0" distT="81280" distB="79375" distL="149225" distR="149860" simplePos="0" locked="0" layoutInCell="0" allowOverlap="1" relativeHeight="7" wp14:anchorId="72C962AD">
                <wp:simplePos x="0" y="0"/>
                <wp:positionH relativeFrom="column">
                  <wp:posOffset>3341370</wp:posOffset>
                </wp:positionH>
                <wp:positionV relativeFrom="paragraph">
                  <wp:posOffset>59690</wp:posOffset>
                </wp:positionV>
                <wp:extent cx="2303780" cy="939165"/>
                <wp:effectExtent l="0" t="0" r="635" b="1905"/>
                <wp:wrapSquare wrapText="bothSides"/>
                <wp:docPr id="5" name="Textfeld 2"/>
                <a:graphic xmlns:a="http://schemas.openxmlformats.org/drawingml/2006/main">
                  <a:graphicData uri="http://schemas.microsoft.com/office/word/2010/wordprocessingShape">
                    <wps:wsp>
                      <wps:cNvSpPr/>
                      <wps:spPr>
                        <a:xfrm>
                          <a:off x="0" y="0"/>
                          <a:ext cx="2303280" cy="938520"/>
                        </a:xfrm>
                        <a:prstGeom prst="rect">
                          <a:avLst/>
                        </a:prstGeom>
                        <a:solidFill>
                          <a:srgbClr val="ffffff"/>
                        </a:solidFill>
                        <a:ln w="9525">
                          <a:noFill/>
                        </a:ln>
                      </wps:spPr>
                      <wps:style>
                        <a:lnRef idx="0"/>
                        <a:fillRef idx="0"/>
                        <a:effectRef idx="0"/>
                        <a:fontRef idx="minor"/>
                      </wps:style>
                      <wps:txbx>
                        <w:txbxContent>
                          <w:p>
                            <w:pPr>
                              <w:pStyle w:val="FrameContents"/>
                              <w:rPr>
                                <w:rFonts w:ascii="Cambria" w:hAnsi="Cambria"/>
                                <w:color w:val="000000"/>
                              </w:rPr>
                            </w:pPr>
                            <w:r>
                              <w:rPr>
                                <w:rFonts w:ascii="Cambria" w:hAnsi="Cambria"/>
                                <w:b/>
                                <w:bCs/>
                                <w:color w:val="000000"/>
                              </w:rPr>
                              <w:t>Figure S2.</w:t>
                            </w:r>
                            <w:r>
                              <w:rPr>
                                <w:rFonts w:ascii="Cambria" w:hAnsi="Cambria"/>
                                <w:color w:val="000000"/>
                              </w:rPr>
                              <w:t xml:space="preserve"> Temperature-time path for the Katha-range samples.</w:t>
                            </w:r>
                          </w:p>
                          <w:p>
                            <w:pPr>
                              <w:pStyle w:val="FrameContents"/>
                              <w:spacing w:before="0" w:after="200"/>
                              <w:rPr>
                                <w:color w:val="000000"/>
                              </w:rPr>
                            </w:pPr>
                            <w:r>
                              <w:rPr/>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id="shape_0" ID="Textfeld 2" path="m0,0l-2147483645,0l-2147483645,-2147483646l0,-2147483646xe" fillcolor="white" stroked="f" o:allowincell="f" style="position:absolute;margin-left:263.1pt;margin-top:4.7pt;width:181.3pt;height:73.85pt;mso-wrap-style:square;v-text-anchor:top" wp14:anchorId="72C962AD">
                <v:fill o:detectmouseclick="t" type="solid" color2="black"/>
                <v:stroke color="#3465a4" weight="9360" joinstyle="round" endcap="flat"/>
                <v:textbox>
                  <w:txbxContent>
                    <w:p>
                      <w:pPr>
                        <w:pStyle w:val="FrameContents"/>
                        <w:rPr>
                          <w:rFonts w:ascii="Cambria" w:hAnsi="Cambria"/>
                          <w:color w:val="000000"/>
                        </w:rPr>
                      </w:pPr>
                      <w:r>
                        <w:rPr>
                          <w:rFonts w:ascii="Cambria" w:hAnsi="Cambria"/>
                          <w:b/>
                          <w:bCs/>
                          <w:color w:val="000000"/>
                        </w:rPr>
                        <w:t>Figure S2.</w:t>
                      </w:r>
                      <w:r>
                        <w:rPr>
                          <w:rFonts w:ascii="Cambria" w:hAnsi="Cambria"/>
                          <w:color w:val="000000"/>
                        </w:rPr>
                        <w:t xml:space="preserve"> Temperature-time path for the Katha-range samples.</w:t>
                      </w:r>
                    </w:p>
                    <w:p>
                      <w:pPr>
                        <w:pStyle w:val="FrameContents"/>
                        <w:spacing w:before="0" w:after="200"/>
                        <w:rPr>
                          <w:color w:val="000000"/>
                        </w:rPr>
                      </w:pPr>
                      <w:r>
                        <w:rPr/>
                      </w:r>
                    </w:p>
                  </w:txbxContent>
                </v:textbox>
                <w10:wrap type="square"/>
              </v:rect>
            </w:pict>
          </mc:Fallback>
        </mc:AlternateContent>
        <w:drawing>
          <wp:inline distT="0" distB="0" distL="0" distR="0">
            <wp:extent cx="3190875" cy="2666365"/>
            <wp:effectExtent l="0" t="0" r="0" b="0"/>
            <wp:docPr id="7"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descr=""/>
                    <pic:cNvPicPr>
                      <a:picLocks noChangeAspect="1" noChangeArrowheads="1"/>
                    </pic:cNvPicPr>
                  </pic:nvPicPr>
                  <pic:blipFill>
                    <a:blip r:embed="rId4"/>
                    <a:stretch>
                      <a:fillRect/>
                    </a:stretch>
                  </pic:blipFill>
                  <pic:spPr bwMode="auto">
                    <a:xfrm>
                      <a:off x="0" y="0"/>
                      <a:ext cx="3190875" cy="2666365"/>
                    </a:xfrm>
                    <a:prstGeom prst="rect">
                      <a:avLst/>
                    </a:prstGeom>
                  </pic:spPr>
                </pic:pic>
              </a:graphicData>
            </a:graphic>
          </wp:inline>
        </w:drawing>
      </w:r>
    </w:p>
    <w:p>
      <w:pPr>
        <w:pStyle w:val="Normal"/>
        <w:spacing w:before="0" w:after="0"/>
        <w:rPr>
          <w:rFonts w:ascii="Cambria" w:hAnsi="Cambria"/>
        </w:rPr>
      </w:pPr>
      <w:r>
        <w:rPr>
          <w:rFonts w:ascii="Cambria" w:hAnsi="Cambria"/>
        </w:rPr>
      </w:r>
    </w:p>
    <w:p>
      <w:pPr>
        <w:pStyle w:val="Normal"/>
        <w:spacing w:before="0" w:after="0"/>
        <w:rPr>
          <w:b/>
          <w:b/>
          <w:bCs/>
        </w:rPr>
      </w:pPr>
      <w:r>
        <w:rPr>
          <w:b/>
          <w:bCs/>
        </w:rPr>
      </w:r>
    </w:p>
    <w:p>
      <w:pPr>
        <w:pStyle w:val="Normal"/>
        <w:suppressLineNumbers/>
        <w:spacing w:lineRule="exact" w:line="250" w:before="60" w:after="200"/>
        <w:ind w:left="425" w:hanging="425"/>
        <w:jc w:val="both"/>
        <w:rPr>
          <w:rFonts w:ascii="Cambria" w:hAnsi="Cambria"/>
        </w:rPr>
      </w:pPr>
      <w:r>
        <w:rPr>
          <w:rFonts w:ascii="Cambria" w:hAnsi="Cambria"/>
        </w:rPr>
      </w:r>
      <w:r>
        <w:br w:type="page"/>
      </w:r>
    </w:p>
    <w:p>
      <w:pPr>
        <w:pStyle w:val="Normal"/>
        <w:suppressLineNumbers/>
        <w:spacing w:lineRule="exact" w:line="250" w:before="60" w:after="200"/>
        <w:ind w:left="425" w:hanging="425"/>
        <w:jc w:val="both"/>
        <w:rPr>
          <w:rFonts w:ascii="Cambria" w:hAnsi="Cambria"/>
          <w:b/>
          <w:b/>
          <w:bCs/>
        </w:rPr>
      </w:pPr>
      <w:r>
        <w:rPr>
          <w:rFonts w:ascii="Cambria" w:hAnsi="Cambria"/>
          <w:b/>
          <w:bCs/>
        </w:rPr>
        <w:t>Text S3</w:t>
      </w:r>
      <w:r>
        <w:rPr>
          <w:rFonts w:ascii="Cambria" w:hAnsi="Cambria"/>
          <w:b/>
          <w:bCs/>
          <w:color w:val="000000"/>
          <w:lang w:val="en-GB"/>
        </w:rPr>
        <w:t>.</w:t>
      </w:r>
      <w:r>
        <w:rPr>
          <w:rFonts w:ascii="Cambria" w:hAnsi="Cambria"/>
          <w:b/>
          <w:bCs/>
          <w:lang w:val="en-GB"/>
        </w:rPr>
        <w:t xml:space="preserve"> Modeling radiation-damage accumulation and annealing in zircon</w:t>
      </w:r>
    </w:p>
    <w:p>
      <w:pPr>
        <w:pStyle w:val="Normal"/>
        <w:suppressLineNumbers/>
        <w:suppressAutoHyphens w:val="false"/>
        <w:spacing w:lineRule="auto" w:line="300" w:before="115" w:after="0"/>
        <w:jc w:val="both"/>
        <w:rPr>
          <w:rFonts w:ascii="Cambria" w:hAnsi="Cambria"/>
        </w:rPr>
      </w:pPr>
      <w:r>
        <w:rPr>
          <w:rFonts w:ascii="Cambria" w:hAnsi="Cambria"/>
          <w:lang w:val="en-GB"/>
        </w:rPr>
        <w:t xml:space="preserve">This appendix discusses forward </w:t>
      </w:r>
      <w:r>
        <w:rPr>
          <w:rFonts w:ascii="Cambria" w:hAnsi="Cambria"/>
          <w:color w:val="000000"/>
          <w:lang w:val="en-GB"/>
        </w:rPr>
        <w:t>modeling</w:t>
      </w:r>
      <w:r>
        <w:rPr>
          <w:rFonts w:ascii="Cambria" w:hAnsi="Cambria"/>
          <w:lang w:val="en-GB"/>
        </w:rPr>
        <w:t xml:space="preserve"> of damage accumulation and annealing for given thermal histories (T,t-paths)</w:t>
      </w:r>
      <w:r>
        <w:rPr>
          <w:rFonts w:ascii="Cambria" w:hAnsi="Cambria"/>
          <w:color w:val="000000"/>
          <w:lang w:val="en-GB"/>
        </w:rPr>
        <w:t xml:space="preserve">, its uses and limitations. Following a Markov-chain approach (Guenthner, 2021), we divided an assumed T,t-path into a series of isothermal steps. The damage accumulated during each step is equal to the α-dose. The residual fraction left from annealing at each following step, </w:t>
      </w:r>
      <w:r>
        <w:rPr>
          <w:rFonts w:ascii="Cambria" w:hAnsi="Cambria"/>
          <w:i/>
          <w:color w:val="000000"/>
          <w:lang w:val="en-GB"/>
        </w:rPr>
        <w:t>r(t,T)</w:t>
      </w:r>
      <w:r>
        <w:rPr>
          <w:rFonts w:ascii="Cambria" w:hAnsi="Cambria"/>
          <w:color w:val="000000"/>
          <w:lang w:val="en-GB"/>
        </w:rPr>
        <w:t>, is calculated from their duration (t) and absolute temperature (</w:t>
      </w:r>
      <w:r>
        <w:rPr>
          <w:rFonts w:ascii="Cambria" w:hAnsi="Cambria"/>
          <w:i/>
          <w:color w:val="000000"/>
          <w:lang w:val="en-GB"/>
        </w:rPr>
        <w:t>T</w:t>
      </w:r>
      <w:r>
        <w:rPr>
          <w:rFonts w:ascii="Cambria" w:hAnsi="Cambria"/>
          <w:color w:val="000000"/>
          <w:lang w:val="en-GB"/>
        </w:rPr>
        <w:t>) using a Johnson-Mehl-Avrami-Kolmogorov model (Härtel et al., 2021):</w:t>
      </w:r>
    </w:p>
    <w:p>
      <w:pPr>
        <w:pStyle w:val="Normal"/>
        <w:suppressLineNumbers/>
        <w:suppressAutoHyphens w:val="false"/>
        <w:spacing w:lineRule="auto" w:line="300" w:before="115" w:after="0"/>
        <w:jc w:val="both"/>
        <w:rPr>
          <w:rFonts w:ascii="Cambria" w:hAnsi="Cambria"/>
        </w:rPr>
      </w:pPr>
      <w:r>
        <w:rPr>
          <w:rFonts w:ascii="Cambria" w:hAnsi="Cambria"/>
          <w:color w:val="000000"/>
          <w:lang w:val="en-GB"/>
        </w:rPr>
        <w:tab/>
      </w:r>
      <w:r>
        <w:rPr/>
      </w:r>
      <m:oMath xmlns:m="http://schemas.openxmlformats.org/officeDocument/2006/math">
        <m:r>
          <w:rPr>
            <w:rFonts w:ascii="Cambria Math" w:hAnsi="Cambria Math"/>
          </w:rPr>
          <m:t xml:space="preserve">r</m:t>
        </m:r>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T</m:t>
            </m:r>
          </m:e>
        </m:d>
        <m:r>
          <w:rPr>
            <w:rFonts w:ascii="Cambria Math" w:hAnsi="Cambria Math"/>
          </w:rPr>
          <m:t xml:space="preserve">=</m:t>
        </m:r>
        <m:r>
          <m:rPr>
            <m:lit/>
            <m:nor/>
          </m:rPr>
          <w:rPr>
            <w:rFonts w:ascii="Cambria Math" w:hAnsi="Cambria Math"/>
          </w:rPr>
          <m:t xml:space="preserve">exp</m:t>
        </m:r>
        <m:d>
          <m:dPr>
            <m:begChr m:val="["/>
            <m:endChr m:val="]"/>
          </m:dPr>
          <m:e>
            <m:r>
              <w:rPr>
                <w:rFonts w:ascii="Cambria Math" w:hAnsi="Cambria Math"/>
              </w:rPr>
              <m:t xml:space="preserve">−</m:t>
            </m:r>
            <m:sSup>
              <m:e>
                <m:d>
                  <m:dPr>
                    <m:begChr m:val="("/>
                    <m:endChr m:val=")"/>
                  </m:dPr>
                  <m:e>
                    <m:r>
                      <w:rPr>
                        <w:rFonts w:ascii="Cambria Math" w:hAnsi="Cambria Math"/>
                      </w:rPr>
                      <m:t xml:space="preserve">kt</m:t>
                    </m:r>
                  </m:e>
                </m:d>
              </m:e>
              <m:sup>
                <m:r>
                  <w:rPr>
                    <w:rFonts w:ascii="Cambria Math" w:hAnsi="Cambria Math"/>
                  </w:rPr>
                  <m:t xml:space="preserve">n</m:t>
                </m:r>
              </m:sup>
            </m:sSup>
          </m:e>
        </m:d>
      </m:oMath>
      <w:r>
        <w:rPr>
          <w:rFonts w:ascii="Cambria" w:hAnsi="Cambria"/>
          <w:color w:val="000000"/>
          <w:lang w:val="en-GB"/>
        </w:rPr>
        <w:tab/>
        <w:tab/>
        <w:tab/>
        <w:tab/>
        <w:tab/>
        <w:tab/>
        <w:tab/>
        <w:t>(A.1),</w:t>
      </w:r>
    </w:p>
    <w:p>
      <w:pPr>
        <w:pStyle w:val="Normal"/>
        <w:suppressLineNumbers/>
        <w:suppressAutoHyphens w:val="false"/>
        <w:spacing w:lineRule="auto" w:line="300" w:before="115" w:after="0"/>
        <w:jc w:val="both"/>
        <w:rPr>
          <w:rFonts w:ascii="Cambria" w:hAnsi="Cambria"/>
        </w:rPr>
      </w:pPr>
      <w:r>
        <w:rPr>
          <w:rFonts w:ascii="Cambria" w:hAnsi="Cambria"/>
          <w:color w:val="000000"/>
          <w:lang w:val="en-GB"/>
        </w:rPr>
        <w:tab/>
      </w:r>
      <w:r>
        <w:rPr/>
      </w:r>
      <m:oMath xmlns:m="http://schemas.openxmlformats.org/officeDocument/2006/math">
        <m:sSub>
          <m:e>
            <m:r>
              <w:rPr>
                <w:rFonts w:ascii="Cambria Math" w:hAnsi="Cambria Math"/>
              </w:rPr>
              <m:t xml:space="preserve">k</m:t>
            </m:r>
            <m:r>
              <w:rPr>
                <w:rFonts w:ascii="Cambria Math" w:hAnsi="Cambria Math"/>
              </w:rPr>
              <m:t xml:space="preserve">=</m:t>
            </m:r>
            <m:r>
              <w:rPr>
                <w:rFonts w:ascii="Cambria Math" w:hAnsi="Cambria Math"/>
              </w:rPr>
              <m:t xml:space="preserve">k</m:t>
            </m:r>
          </m:e>
          <m:sub>
            <m:r>
              <w:rPr>
                <w:rFonts w:ascii="Cambria Math" w:hAnsi="Cambria Math"/>
              </w:rPr>
              <m:t xml:space="preserve">0</m:t>
            </m:r>
          </m:sub>
        </m:sSub>
        <m:r>
          <m:rPr>
            <m:lit/>
            <m:nor/>
          </m:rPr>
          <w:rPr>
            <w:rFonts w:ascii="Cambria Math" w:hAnsi="Cambria Math"/>
          </w:rPr>
          <m:t xml:space="preserve">exp</m:t>
        </m:r>
        <m:d>
          <m:dPr>
            <m:begChr m:val="("/>
            <m:endChr m:val=")"/>
          </m:dPr>
          <m:e>
            <m:f>
              <m:num>
                <m:r>
                  <w:rPr>
                    <w:rFonts w:ascii="Cambria Math" w:hAnsi="Cambria Math"/>
                  </w:rPr>
                  <m:t xml:space="preserve">−</m:t>
                </m:r>
                <m:sSub>
                  <m:e>
                    <m:r>
                      <w:rPr>
                        <w:rFonts w:ascii="Cambria Math" w:hAnsi="Cambria Math"/>
                      </w:rPr>
                      <m:t xml:space="preserve">E</m:t>
                    </m:r>
                  </m:e>
                  <m:sub>
                    <m:r>
                      <w:rPr>
                        <w:rFonts w:ascii="Cambria Math" w:hAnsi="Cambria Math"/>
                      </w:rPr>
                      <m:t xml:space="preserve">A</m:t>
                    </m:r>
                  </m:sub>
                </m:sSub>
              </m:num>
              <m:den>
                <m:r>
                  <w:rPr>
                    <w:rFonts w:ascii="Cambria Math" w:hAnsi="Cambria Math"/>
                  </w:rPr>
                  <m:t xml:space="preserve">κT</m:t>
                </m:r>
              </m:den>
            </m:f>
          </m:e>
        </m:d>
      </m:oMath>
      <w:r>
        <w:rPr>
          <w:rFonts w:ascii="Cambria" w:hAnsi="Cambria"/>
          <w:color w:val="000000"/>
          <w:lang w:val="en-GB"/>
        </w:rPr>
        <w:tab/>
        <w:tab/>
        <w:tab/>
        <w:tab/>
        <w:tab/>
        <w:tab/>
        <w:tab/>
        <w:tab/>
        <w:tab/>
        <w:t>(A.2).</w:t>
      </w:r>
    </w:p>
    <w:p>
      <w:pPr>
        <w:pStyle w:val="Normal"/>
        <w:suppressLineNumbers/>
        <w:suppressAutoHyphens w:val="false"/>
        <w:spacing w:lineRule="auto" w:line="300" w:before="115" w:after="0"/>
        <w:jc w:val="both"/>
        <w:rPr>
          <w:rFonts w:ascii="Cambria" w:hAnsi="Cambria"/>
        </w:rPr>
      </w:pPr>
      <w:r>
        <w:rPr>
          <w:rFonts w:ascii="Cambria" w:hAnsi="Cambria"/>
          <w:i/>
          <w:iCs/>
          <w:color w:val="000000"/>
          <w:lang w:val="en-GB"/>
        </w:rPr>
        <w:t>E</w:t>
      </w:r>
      <w:r>
        <w:rPr>
          <w:rFonts w:ascii="Cambria" w:hAnsi="Cambria"/>
          <w:i/>
          <w:iCs/>
          <w:color w:val="000000"/>
          <w:vertAlign w:val="subscript"/>
          <w:lang w:val="en-GB"/>
        </w:rPr>
        <w:t>A</w:t>
      </w:r>
      <w:r>
        <w:rPr>
          <w:rFonts w:ascii="Cambria" w:hAnsi="Cambria"/>
          <w:color w:val="000000"/>
          <w:lang w:val="en-GB"/>
        </w:rPr>
        <w:t xml:space="preserve"> is the activation energy and </w:t>
      </w:r>
      <w:r>
        <w:rPr>
          <w:rFonts w:ascii="Cambria" w:hAnsi="Cambria"/>
          <w:i/>
          <w:iCs/>
          <w:color w:val="000000"/>
          <w:lang w:val="en-GB"/>
        </w:rPr>
        <w:t>n</w:t>
      </w:r>
      <w:r>
        <w:rPr>
          <w:rFonts w:ascii="Cambria" w:hAnsi="Cambria"/>
          <w:color w:val="000000"/>
          <w:lang w:val="en-GB"/>
        </w:rPr>
        <w:t xml:space="preserve"> the Avrami exponent, </w:t>
      </w:r>
      <w:r>
        <w:rPr>
          <w:rFonts w:ascii="Cambria" w:hAnsi="Cambria"/>
          <w:i/>
          <w:iCs/>
          <w:color w:val="000000"/>
          <w:lang w:val="en-GB"/>
        </w:rPr>
        <w:t>k</w:t>
      </w:r>
      <w:r>
        <w:rPr>
          <w:rFonts w:ascii="Cambria" w:hAnsi="Cambria"/>
          <w:color w:val="000000"/>
          <w:lang w:val="en-GB"/>
        </w:rPr>
        <w:t xml:space="preserve"> is the rate factor,</w:t>
      </w:r>
      <w:r>
        <w:rPr>
          <w:rFonts w:ascii="Cambria" w:hAnsi="Cambria"/>
          <w:i/>
          <w:iCs/>
          <w:color w:val="000000"/>
          <w:lang w:val="en-GB"/>
        </w:rPr>
        <w:t xml:space="preserve"> k</w:t>
      </w:r>
      <w:r>
        <w:rPr>
          <w:rFonts w:ascii="Cambria" w:hAnsi="Cambria"/>
          <w:i/>
          <w:iCs/>
          <w:color w:val="000000"/>
          <w:vertAlign w:val="subscript"/>
          <w:lang w:val="en-GB"/>
        </w:rPr>
        <w:t>0</w:t>
      </w:r>
      <w:r>
        <w:rPr>
          <w:rFonts w:ascii="Cambria" w:hAnsi="Cambria"/>
          <w:color w:val="000000"/>
          <w:lang w:val="en-GB"/>
        </w:rPr>
        <w:t xml:space="preserve"> the frequency factor, and </w:t>
      </w:r>
      <w:r>
        <w:rPr>
          <w:rFonts w:ascii="Cambria" w:hAnsi="Cambria"/>
          <w:i/>
          <w:iCs/>
          <w:color w:val="000000"/>
          <w:lang w:val="en-GB"/>
        </w:rPr>
        <w:t>κ</w:t>
      </w:r>
      <w:r>
        <w:rPr>
          <w:rFonts w:ascii="Cambria" w:hAnsi="Cambria"/>
          <w:color w:val="000000"/>
          <w:lang w:val="en-GB"/>
        </w:rPr>
        <w:t xml:space="preserve"> the Boltzmann constant. The model parameters for the ν</w:t>
      </w:r>
      <w:r>
        <w:rPr>
          <w:rFonts w:ascii="Cambria" w:hAnsi="Cambria"/>
          <w:color w:val="000000"/>
          <w:vertAlign w:val="subscript"/>
          <w:lang w:val="en-GB"/>
        </w:rPr>
        <w:t>2</w:t>
      </w:r>
      <w:r>
        <w:rPr>
          <w:rFonts w:ascii="Cambria" w:hAnsi="Cambria"/>
          <w:color w:val="000000"/>
          <w:lang w:val="en-GB"/>
        </w:rPr>
        <w:t>(SiO</w:t>
      </w:r>
      <w:r>
        <w:rPr>
          <w:rFonts w:ascii="Cambria" w:hAnsi="Cambria"/>
          <w:color w:val="000000"/>
          <w:vertAlign w:val="subscript"/>
          <w:lang w:val="en-GB"/>
        </w:rPr>
        <w:t>4</w:t>
      </w:r>
      <w:r>
        <w:rPr>
          <w:rFonts w:ascii="Cambria" w:hAnsi="Cambria"/>
          <w:color w:val="000000"/>
          <w:lang w:val="en-GB"/>
        </w:rPr>
        <w:t xml:space="preserve">) and ER bands are derived from isothermal laboratory experiments (Härtel et al., 2021). For each time-step, we calculate the remaining portion of damage by multiplying the accumulated damage with </w:t>
      </w:r>
      <w:r>
        <w:rPr>
          <w:rFonts w:ascii="Cambria" w:hAnsi="Cambria"/>
          <w:i/>
          <w:iCs/>
          <w:color w:val="000000"/>
          <w:lang w:val="en-GB"/>
        </w:rPr>
        <w:t>r(t,T)</w:t>
      </w:r>
      <w:r>
        <w:rPr>
          <w:rFonts w:ascii="Cambria" w:hAnsi="Cambria"/>
          <w:color w:val="000000"/>
          <w:lang w:val="en-GB"/>
        </w:rPr>
        <w:t>. We then calculate the annealing during the subsequent steps using the principle of equivalent time, which is equivalent to the Markov assumption and states that the damage fraction annealed during a step only depends on its previous degree of annealing and the prevailing time-temperature conditions. We calculate the total damage at each time-step by summing the damage fractions remaining at this step. Apart from the extrapolation of a laboratory experiment to geological timescales, this modeling approach rests on three assumptions: (1) the principle of equivalent time applies; (2) partially annealed and unannealed damage quantities can be summed; (3) the annealing rate is independent of the accumulated damage. We consider the results as provisional, but they provide a reasonable first-order estimate D</w:t>
      </w:r>
      <w:r>
        <w:rPr>
          <w:rFonts w:ascii="Cambria" w:hAnsi="Cambria"/>
          <w:color w:val="000000"/>
          <w:vertAlign w:val="subscript"/>
          <w:lang w:val="en-GB"/>
        </w:rPr>
        <w:t>2</w:t>
      </w:r>
      <w:r>
        <w:rPr>
          <w:rFonts w:ascii="Cambria" w:hAnsi="Cambria"/>
          <w:color w:val="000000"/>
          <w:lang w:val="en-GB"/>
        </w:rPr>
        <w:t xml:space="preserve"> and D</w:t>
      </w:r>
      <w:r>
        <w:rPr>
          <w:rFonts w:ascii="Cambria" w:hAnsi="Cambria"/>
          <w:color w:val="000000"/>
          <w:vertAlign w:val="subscript"/>
          <w:lang w:val="en-GB"/>
        </w:rPr>
        <w:t>ER</w:t>
      </w:r>
      <w:r>
        <w:rPr>
          <w:rFonts w:ascii="Cambria" w:hAnsi="Cambria"/>
          <w:color w:val="000000"/>
          <w:lang w:val="en-GB"/>
        </w:rPr>
        <w:t>.</w:t>
      </w:r>
    </w:p>
    <w:p>
      <w:pPr>
        <w:pStyle w:val="Normal"/>
        <w:suppressLineNumbers/>
        <w:suppressAutoHyphens w:val="false"/>
        <w:spacing w:lineRule="auto" w:line="300" w:before="113" w:after="0"/>
        <w:jc w:val="both"/>
        <w:rPr>
          <w:rFonts w:ascii="Cambria" w:hAnsi="Cambria"/>
        </w:rPr>
      </w:pPr>
      <w:r>
        <w:rPr>
          <w:rFonts w:ascii="Cambria" w:hAnsi="Cambria"/>
          <w:color w:val="000000"/>
          <w:lang w:val="en-GB"/>
        </w:rPr>
        <w:t xml:space="preserve">Figures </w:t>
      </w:r>
      <w:r>
        <w:rPr>
          <w:rFonts w:eastAsia="Calibri" w:ascii="Cambria" w:hAnsi="Cambria"/>
          <w:color w:val="000000"/>
          <w:lang w:val="en-GB"/>
        </w:rPr>
        <w:t>S3</w:t>
      </w:r>
      <w:r>
        <w:rPr>
          <w:rFonts w:ascii="Cambria" w:hAnsi="Cambria"/>
          <w:color w:val="000000"/>
          <w:lang w:val="en-GB"/>
        </w:rPr>
        <w:t xml:space="preserve">a and </w:t>
      </w:r>
      <w:r>
        <w:rPr>
          <w:rFonts w:eastAsia="Calibri" w:ascii="Cambria" w:hAnsi="Cambria"/>
          <w:color w:val="000000"/>
          <w:lang w:val="en-GB"/>
        </w:rPr>
        <w:t>S3</w:t>
      </w:r>
      <w:r>
        <w:rPr>
          <w:rFonts w:ascii="Cambria" w:hAnsi="Cambria"/>
          <w:color w:val="000000"/>
          <w:lang w:val="en-GB"/>
        </w:rPr>
        <w:t>b show the thermal histories and the evolution of D</w:t>
      </w:r>
      <w:r>
        <w:rPr>
          <w:rFonts w:ascii="Cambria" w:hAnsi="Cambria"/>
          <w:color w:val="000000"/>
          <w:vertAlign w:val="subscript"/>
          <w:lang w:val="en-GB"/>
        </w:rPr>
        <w:t>2</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 xml:space="preserve"> corresponding to the insets in Figure 5. Both thermal histories span 150 Myrs and describe a zircon with 3000 µg/g effective Uranium (eU = 1.04 [U] + 0.24 [Th]). The cooling path describes 100 Myrs cooling at 5 °C/Myr followed by 50 Myrs lossless damage accumulation. The reheating path describes damage accumulation for 80 Myrs, heating to 400 °C at 10 °C/Myr, and cooling to 20 °C at the same rate, before again accumulating damage for 15 Myrs. For the cooling path, D</w:t>
      </w:r>
      <w:r>
        <w:rPr>
          <w:rFonts w:ascii="Cambria" w:hAnsi="Cambria"/>
          <w:color w:val="000000"/>
          <w:vertAlign w:val="subscript"/>
          <w:lang w:val="en-GB"/>
        </w:rPr>
        <w:t>2</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 xml:space="preserve"> peaks at a value of ~1.4 at about 300 °C in the middle of the cooling segment, and decreases afterwards, leading to a final value of ~1.1. For the reheating scenario, the D</w:t>
      </w:r>
      <w:r>
        <w:rPr>
          <w:rFonts w:ascii="Cambria" w:hAnsi="Cambria"/>
          <w:color w:val="000000"/>
          <w:vertAlign w:val="subscript"/>
          <w:lang w:val="en-GB"/>
        </w:rPr>
        <w:t>2</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 xml:space="preserve"> reaches ~1.5 at the peak temperature, and decreases to a final value of ~1.3. </w:t>
      </w:r>
    </w:p>
    <w:p>
      <w:pPr>
        <w:pStyle w:val="Normal"/>
        <w:suppressLineNumbers/>
        <w:spacing w:lineRule="auto" w:line="300" w:before="113" w:after="0"/>
        <w:jc w:val="both"/>
        <w:rPr>
          <w:rFonts w:ascii="Cambria" w:hAnsi="Cambria"/>
        </w:rPr>
      </w:pPr>
      <w:r>
        <w:rPr>
          <w:rFonts w:ascii="Cambria" w:hAnsi="Cambria"/>
          <w:color w:val="000000"/>
          <w:lang w:val="en-GB"/>
        </w:rPr>
        <w:t xml:space="preserve">Figure </w:t>
      </w:r>
      <w:r>
        <w:rPr>
          <w:rFonts w:eastAsia="Calibri" w:ascii="Cambria" w:hAnsi="Cambria"/>
          <w:color w:val="000000"/>
          <w:lang w:val="en-GB"/>
        </w:rPr>
        <w:t>S4</w:t>
      </w:r>
      <w:r>
        <w:rPr>
          <w:rFonts w:ascii="Cambria" w:hAnsi="Cambria"/>
          <w:color w:val="000000"/>
          <w:lang w:val="en-GB"/>
        </w:rPr>
        <w:t xml:space="preserve"> shows the D</w:t>
      </w:r>
      <w:r>
        <w:rPr>
          <w:rFonts w:ascii="Cambria" w:hAnsi="Cambria"/>
          <w:color w:val="000000"/>
          <w:vertAlign w:val="subscript"/>
          <w:lang w:val="en-GB"/>
        </w:rPr>
        <w:t>2</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 xml:space="preserve"> plot with t</w:t>
      </w:r>
      <w:r>
        <w:rPr>
          <w:rFonts w:cs="Times New Roman" w:ascii="Cambria" w:hAnsi="Cambria"/>
          <w:color w:val="000000"/>
          <w:lang w:val="en-GB"/>
        </w:rPr>
        <w:t>rajectories</w:t>
      </w:r>
      <w:r>
        <w:rPr>
          <w:rFonts w:ascii="Cambria" w:hAnsi="Cambria"/>
          <w:color w:val="000000"/>
          <w:lang w:val="en-GB"/>
        </w:rPr>
        <w:t xml:space="preserve"> for cooling at ~5 K/Myr and eU between 100 and 3000 µg/g. Because the relative annealing rates of D</w:t>
      </w:r>
      <w:r>
        <w:rPr>
          <w:rFonts w:ascii="Cambria" w:hAnsi="Cambria"/>
          <w:color w:val="000000"/>
          <w:vertAlign w:val="subscript"/>
          <w:lang w:val="en-GB"/>
        </w:rPr>
        <w:t>2</w:t>
      </w:r>
      <w:r>
        <w:rPr>
          <w:rFonts w:ascii="Cambria" w:hAnsi="Cambria"/>
          <w:color w:val="000000"/>
          <w:lang w:val="en-GB"/>
        </w:rPr>
        <w:t xml:space="preserve"> and D</w:t>
      </w:r>
      <w:r>
        <w:rPr>
          <w:rFonts w:ascii="Cambria" w:hAnsi="Cambria"/>
          <w:color w:val="000000"/>
          <w:vertAlign w:val="subscript"/>
          <w:lang w:val="en-GB"/>
        </w:rPr>
        <w:t>ER</w:t>
      </w:r>
      <w:r>
        <w:rPr>
          <w:rFonts w:ascii="Cambria" w:hAnsi="Cambria"/>
          <w:color w:val="000000"/>
          <w:lang w:val="en-GB"/>
        </w:rPr>
        <w:t xml:space="preserve"> are independent of the accumulated damage, the ratio D</w:t>
      </w:r>
      <w:r>
        <w:rPr>
          <w:rFonts w:ascii="Cambria" w:hAnsi="Cambria"/>
          <w:color w:val="000000"/>
          <w:vertAlign w:val="subscript"/>
          <w:lang w:val="en-GB"/>
        </w:rPr>
        <w:t>2</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 xml:space="preserve"> is the same for all paths in each time step, while eU determines the absolute value of D</w:t>
      </w:r>
      <w:r>
        <w:rPr>
          <w:rFonts w:ascii="Cambria" w:hAnsi="Cambria"/>
          <w:color w:val="000000"/>
          <w:vertAlign w:val="subscript"/>
          <w:lang w:val="en-GB"/>
        </w:rPr>
        <w:t>ER</w:t>
      </w:r>
      <w:r>
        <w:rPr>
          <w:rFonts w:ascii="Cambria" w:hAnsi="Cambria"/>
          <w:color w:val="000000"/>
          <w:lang w:val="en-GB"/>
        </w:rPr>
        <w:t>. Our model implies that the D</w:t>
      </w:r>
      <w:r>
        <w:rPr>
          <w:rFonts w:ascii="Cambria" w:hAnsi="Cambria"/>
          <w:color w:val="000000"/>
          <w:vertAlign w:val="subscript"/>
          <w:lang w:val="en-GB"/>
        </w:rPr>
        <w:t>2</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 xml:space="preserve"> is independent of eU; this implies that zircons from a population that experienced the same cooling path are distributed along a horizontal line in a D</w:t>
      </w:r>
      <w:r>
        <w:rPr>
          <w:rFonts w:ascii="Cambria" w:hAnsi="Cambria"/>
          <w:color w:val="000000"/>
          <w:vertAlign w:val="subscript"/>
          <w:lang w:val="en-GB"/>
        </w:rPr>
        <w:t>2</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-D</w:t>
      </w:r>
      <w:r>
        <w:rPr>
          <w:rFonts w:ascii="Cambria" w:hAnsi="Cambria"/>
          <w:color w:val="000000"/>
          <w:vertAlign w:val="subscript"/>
          <w:lang w:val="en-GB"/>
        </w:rPr>
        <w:t>ER</w:t>
      </w:r>
      <w:r>
        <w:rPr>
          <w:rFonts w:ascii="Cambria" w:hAnsi="Cambria"/>
          <w:color w:val="000000"/>
          <w:lang w:val="en-GB"/>
        </w:rPr>
        <w:t xml:space="preserve"> plot.</w:t>
      </w:r>
    </w:p>
    <w:tbl>
      <w:tblPr>
        <w:tblW w:w="5558" w:type="dxa"/>
        <w:jc w:val="left"/>
        <w:tblInd w:w="0" w:type="dxa"/>
        <w:tblLayout w:type="fixed"/>
        <w:tblCellMar>
          <w:top w:w="55" w:type="dxa"/>
          <w:left w:w="55" w:type="dxa"/>
          <w:bottom w:w="55" w:type="dxa"/>
          <w:right w:w="55" w:type="dxa"/>
        </w:tblCellMar>
        <w:tblLook w:val="04a0" w:noVBand="1" w:noHBand="0" w:lastColumn="0" w:firstColumn="1" w:lastRow="0" w:firstRow="1"/>
      </w:tblPr>
      <w:tblGrid>
        <w:gridCol w:w="5558"/>
      </w:tblGrid>
      <w:tr>
        <w:trPr/>
        <w:tc>
          <w:tcPr>
            <w:tcW w:w="5558" w:type="dxa"/>
            <w:tcBorders/>
          </w:tcPr>
          <w:p>
            <w:pPr>
              <w:pStyle w:val="TableContents"/>
              <w:widowControl w:val="false"/>
              <w:spacing w:before="0" w:after="200"/>
              <w:rPr>
                <w:rFonts w:ascii="Times New Roman" w:hAnsi="Times New Roman"/>
              </w:rPr>
            </w:pPr>
            <w:r>
              <w:rPr>
                <w:rFonts w:ascii="Times New Roman" w:hAnsi="Times New Roman"/>
              </w:rPr>
              <w:drawing>
                <wp:anchor behindDoc="0" distT="0" distB="0" distL="0" distR="0" simplePos="0" locked="0" layoutInCell="1" allowOverlap="1" relativeHeight="9">
                  <wp:simplePos x="0" y="0"/>
                  <wp:positionH relativeFrom="column">
                    <wp:posOffset>260985</wp:posOffset>
                  </wp:positionH>
                  <wp:positionV relativeFrom="paragraph">
                    <wp:posOffset>635</wp:posOffset>
                  </wp:positionV>
                  <wp:extent cx="2761615" cy="4450715"/>
                  <wp:effectExtent l="0" t="0" r="0" b="0"/>
                  <wp:wrapTopAndBottom/>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5"/>
                          <a:stretch>
                            <a:fillRect/>
                          </a:stretch>
                        </pic:blipFill>
                        <pic:spPr bwMode="auto">
                          <a:xfrm>
                            <a:off x="0" y="0"/>
                            <a:ext cx="2761615" cy="4450715"/>
                          </a:xfrm>
                          <a:prstGeom prst="rect">
                            <a:avLst/>
                          </a:prstGeom>
                        </pic:spPr>
                      </pic:pic>
                    </a:graphicData>
                  </a:graphic>
                </wp:anchor>
              </w:drawing>
            </w:r>
          </w:p>
        </w:tc>
      </w:tr>
      <w:tr>
        <w:trPr/>
        <w:tc>
          <w:tcPr>
            <w:tcW w:w="5558" w:type="dxa"/>
            <w:tcBorders/>
          </w:tcPr>
          <w:p>
            <w:pPr>
              <w:pStyle w:val="TableContents"/>
              <w:widowControl w:val="false"/>
              <w:spacing w:before="0" w:after="200"/>
              <w:jc w:val="both"/>
              <w:rPr>
                <w:rFonts w:ascii="Cambria" w:hAnsi="Cambria"/>
              </w:rPr>
            </w:pPr>
            <w:r>
              <w:rPr>
                <w:rFonts w:eastAsia="Calibri" w:ascii="Cambria" w:hAnsi="Cambria"/>
                <w:b/>
                <w:bCs/>
              </w:rPr>
              <w:t xml:space="preserve">Figure </w:t>
            </w:r>
            <w:r>
              <w:rPr>
                <w:rFonts w:eastAsia="Calibri" w:ascii="Cambria" w:hAnsi="Cambria"/>
                <w:b/>
                <w:bCs/>
                <w:color w:val="000000"/>
              </w:rPr>
              <w:t>S3</w:t>
            </w:r>
            <w:r>
              <w:rPr>
                <w:rFonts w:eastAsia="Calibri" w:ascii="Cambria" w:hAnsi="Cambria"/>
                <w:b/>
                <w:bCs/>
              </w:rPr>
              <w:t>.</w:t>
            </w:r>
            <w:r>
              <w:rPr>
                <w:rFonts w:eastAsia="Calibri" w:ascii="Cambria" w:hAnsi="Cambria"/>
              </w:rPr>
              <w:t xml:space="preserve"> (a) T-t path and (b) temporal D</w:t>
            </w:r>
            <w:r>
              <w:rPr>
                <w:rFonts w:eastAsia="Calibri" w:ascii="Cambria" w:hAnsi="Cambria"/>
                <w:vertAlign w:val="subscript"/>
              </w:rPr>
              <w:t>2</w:t>
            </w:r>
            <w:r>
              <w:rPr>
                <w:rFonts w:eastAsia="Calibri" w:ascii="Cambria" w:hAnsi="Cambria"/>
              </w:rPr>
              <w:t>/D</w:t>
            </w:r>
            <w:r>
              <w:rPr>
                <w:rFonts w:eastAsia="Calibri" w:ascii="Cambria" w:hAnsi="Cambria"/>
                <w:vertAlign w:val="subscript"/>
              </w:rPr>
              <w:t>ER</w:t>
            </w:r>
            <w:r>
              <w:rPr>
                <w:rFonts w:eastAsia="Calibri" w:ascii="Cambria" w:hAnsi="Cambria"/>
              </w:rPr>
              <w:t xml:space="preserve"> evolution for the modeled slow cooling and reheating lines in Figure 5. The accumulation and annealing paths were modeled for a zircon with eU = 3000 µg/g. The dashed black line in (b) marks the ratio of unannealed zircon.</w:t>
            </w:r>
          </w:p>
        </w:tc>
      </w:tr>
    </w:tbl>
    <w:p>
      <w:pPr>
        <w:pStyle w:val="Normal"/>
        <w:rPr/>
      </w:pPr>
      <w:r>
        <w:rPr/>
      </w:r>
      <w:r>
        <w:br w:type="page"/>
      </w:r>
    </w:p>
    <w:p>
      <w:pPr>
        <w:pStyle w:val="Normal"/>
        <w:rPr/>
      </w:pPr>
      <w:r>
        <w:rPr/>
      </w:r>
    </w:p>
    <w:tbl>
      <w:tblPr>
        <w:tblW w:w="6291" w:type="dxa"/>
        <w:jc w:val="left"/>
        <w:tblInd w:w="0" w:type="dxa"/>
        <w:tblLayout w:type="fixed"/>
        <w:tblCellMar>
          <w:top w:w="55" w:type="dxa"/>
          <w:left w:w="55" w:type="dxa"/>
          <w:bottom w:w="55" w:type="dxa"/>
          <w:right w:w="55" w:type="dxa"/>
        </w:tblCellMar>
        <w:tblLook w:val="04a0" w:noVBand="1" w:noHBand="0" w:lastColumn="0" w:firstColumn="1" w:lastRow="0" w:firstRow="1"/>
      </w:tblPr>
      <w:tblGrid>
        <w:gridCol w:w="6291"/>
      </w:tblGrid>
      <w:tr>
        <w:trPr/>
        <w:tc>
          <w:tcPr>
            <w:tcW w:w="6291" w:type="dxa"/>
            <w:tcBorders/>
          </w:tcPr>
          <w:p>
            <w:pPr>
              <w:pStyle w:val="TableContents"/>
              <w:widowControl w:val="false"/>
              <w:spacing w:before="0" w:after="200"/>
              <w:rPr>
                <w:rFonts w:ascii="Cambria" w:hAnsi="Cambria"/>
              </w:rPr>
            </w:pPr>
            <w:r>
              <w:rPr>
                <w:rFonts w:ascii="Cambria" w:hAnsi="Cambria"/>
              </w:rPr>
              <w:drawing>
                <wp:anchor behindDoc="0" distT="0" distB="0" distL="0" distR="0" simplePos="0" locked="0" layoutInCell="1" allowOverlap="1" relativeHeight="10">
                  <wp:simplePos x="0" y="0"/>
                  <wp:positionH relativeFrom="column">
                    <wp:posOffset>80010</wp:posOffset>
                  </wp:positionH>
                  <wp:positionV relativeFrom="paragraph">
                    <wp:posOffset>55880</wp:posOffset>
                  </wp:positionV>
                  <wp:extent cx="3290570" cy="2169160"/>
                  <wp:effectExtent l="0" t="0" r="0" b="0"/>
                  <wp:wrapTopAndBottom/>
                  <wp:docPr id="9"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 descr=""/>
                          <pic:cNvPicPr>
                            <a:picLocks noChangeAspect="1" noChangeArrowheads="1"/>
                          </pic:cNvPicPr>
                        </pic:nvPicPr>
                        <pic:blipFill>
                          <a:blip r:embed="rId6"/>
                          <a:stretch>
                            <a:fillRect/>
                          </a:stretch>
                        </pic:blipFill>
                        <pic:spPr bwMode="auto">
                          <a:xfrm>
                            <a:off x="0" y="0"/>
                            <a:ext cx="3290570" cy="2169160"/>
                          </a:xfrm>
                          <a:prstGeom prst="rect">
                            <a:avLst/>
                          </a:prstGeom>
                        </pic:spPr>
                      </pic:pic>
                    </a:graphicData>
                  </a:graphic>
                </wp:anchor>
              </w:drawing>
            </w:r>
          </w:p>
        </w:tc>
      </w:tr>
      <w:tr>
        <w:trPr/>
        <w:tc>
          <w:tcPr>
            <w:tcW w:w="6291" w:type="dxa"/>
            <w:tcBorders/>
          </w:tcPr>
          <w:p>
            <w:pPr>
              <w:pStyle w:val="TableContents"/>
              <w:widowControl w:val="false"/>
              <w:spacing w:before="0" w:after="200"/>
              <w:rPr>
                <w:rFonts w:ascii="Cambria" w:hAnsi="Cambria"/>
              </w:rPr>
            </w:pPr>
            <w:r>
              <w:rPr>
                <w:rFonts w:eastAsia="Calibri" w:ascii="Cambria" w:hAnsi="Cambria"/>
                <w:b/>
                <w:bCs/>
              </w:rPr>
              <w:t xml:space="preserve">Figure </w:t>
            </w:r>
            <w:r>
              <w:rPr>
                <w:rFonts w:eastAsia="Calibri" w:ascii="Cambria" w:hAnsi="Cambria"/>
                <w:b/>
                <w:bCs/>
                <w:color w:val="000000"/>
              </w:rPr>
              <w:t>S4</w:t>
            </w:r>
            <w:r>
              <w:rPr>
                <w:rFonts w:eastAsia="Calibri" w:ascii="Cambria" w:hAnsi="Cambria"/>
                <w:b/>
                <w:bCs/>
              </w:rPr>
              <w:t>.</w:t>
            </w:r>
            <w:r>
              <w:rPr>
                <w:rFonts w:eastAsia="Calibri" w:ascii="Cambria" w:hAnsi="Cambria"/>
              </w:rPr>
              <w:t xml:space="preserve"> D</w:t>
            </w:r>
            <w:r>
              <w:rPr>
                <w:rFonts w:eastAsia="Calibri" w:ascii="Cambria" w:hAnsi="Cambria"/>
                <w:vertAlign w:val="subscript"/>
              </w:rPr>
              <w:t>2</w:t>
            </w:r>
            <w:r>
              <w:rPr>
                <w:rFonts w:eastAsia="Calibri" w:ascii="Cambria" w:hAnsi="Cambria"/>
              </w:rPr>
              <w:t>/D</w:t>
            </w:r>
            <w:r>
              <w:rPr>
                <w:rFonts w:eastAsia="Calibri" w:ascii="Cambria" w:hAnsi="Cambria"/>
                <w:vertAlign w:val="subscript"/>
              </w:rPr>
              <w:t>ER</w:t>
            </w:r>
            <w:r>
              <w:rPr>
                <w:rFonts w:eastAsia="Calibri" w:ascii="Cambria" w:hAnsi="Cambria"/>
              </w:rPr>
              <w:t>-D</w:t>
            </w:r>
            <w:r>
              <w:rPr>
                <w:rFonts w:eastAsia="Calibri" w:ascii="Cambria" w:hAnsi="Cambria"/>
                <w:vertAlign w:val="subscript"/>
              </w:rPr>
              <w:t>2</w:t>
            </w:r>
            <w:r>
              <w:rPr>
                <w:rFonts w:eastAsia="Calibri" w:ascii="Cambria" w:hAnsi="Cambria"/>
              </w:rPr>
              <w:t xml:space="preserve"> plot for zircons with eU = 100, 500, 1000, and 3000 µg/g for a modeled cooling </w:t>
            </w:r>
            <w:r>
              <w:rPr>
                <w:rFonts w:eastAsia="Calibri" w:cs="Times New Roman" w:ascii="Cambria" w:hAnsi="Cambria"/>
                <w:color w:val="000000"/>
              </w:rPr>
              <w:t>history at a cooling rate of 5 °C/Myr, followed by 50 Myr of damage accumulation</w:t>
            </w:r>
            <w:r>
              <w:rPr>
                <w:rFonts w:eastAsia="Calibri" w:ascii="Cambria" w:hAnsi="Cambria"/>
              </w:rPr>
              <w:t>. The dashed black line marks the ratio of unannealed zircon.</w:t>
            </w:r>
          </w:p>
        </w:tc>
      </w:tr>
    </w:tbl>
    <w:p>
      <w:pPr>
        <w:pStyle w:val="Normal"/>
        <w:rPr>
          <w:rFonts w:ascii="Cambria" w:hAnsi="Cambria"/>
        </w:rPr>
      </w:pPr>
      <w:r>
        <w:rPr>
          <w:rFonts w:ascii="Cambria" w:hAnsi="Cambria"/>
          <w:b/>
        </w:rPr>
        <w:t>References</w:t>
      </w:r>
    </w:p>
    <w:p>
      <w:pPr>
        <w:pStyle w:val="Normal"/>
        <w:tabs>
          <w:tab w:val="clear" w:pos="340"/>
        </w:tabs>
        <w:suppressAutoHyphens w:val="false"/>
        <w:spacing w:lineRule="exact" w:line="249" w:before="119" w:after="0"/>
        <w:ind w:left="720" w:right="0" w:hanging="720"/>
        <w:jc w:val="both"/>
        <w:rPr>
          <w:rFonts w:ascii="Cambria" w:hAnsi="Cambria"/>
        </w:rPr>
      </w:pPr>
      <w:r>
        <w:rPr>
          <w:rFonts w:ascii="Cambria" w:hAnsi="Cambria"/>
          <w:sz w:val="24"/>
          <w:szCs w:val="24"/>
        </w:rPr>
        <w:t xml:space="preserve">Brandon, M. T., Roden-Tice, M. K., &amp; Garver, J. I. (1998), Late Cenozoic exhumation of the Cascadia accretionary wedge in the Olympic Mountains, northwest Washington State. </w:t>
      </w:r>
      <w:r>
        <w:rPr>
          <w:rFonts w:ascii="Cambria" w:hAnsi="Cambria"/>
          <w:i/>
          <w:iCs/>
          <w:sz w:val="24"/>
          <w:szCs w:val="24"/>
        </w:rPr>
        <w:t>GSA Bulletin</w:t>
      </w:r>
      <w:r>
        <w:rPr>
          <w:rFonts w:ascii="Cambria" w:hAnsi="Cambria"/>
          <w:sz w:val="24"/>
          <w:szCs w:val="24"/>
        </w:rPr>
        <w:t xml:space="preserve"> 110, 985–1009.</w:t>
      </w:r>
    </w:p>
    <w:p>
      <w:pPr>
        <w:pStyle w:val="Normal"/>
        <w:tabs>
          <w:tab w:val="clear" w:pos="340"/>
        </w:tabs>
        <w:suppressAutoHyphens w:val="false"/>
        <w:spacing w:lineRule="exact" w:line="249" w:before="119" w:after="0"/>
        <w:ind w:left="720" w:right="0" w:hanging="720"/>
        <w:jc w:val="both"/>
        <w:rPr>
          <w:rFonts w:ascii="Cambria" w:hAnsi="Cambria"/>
        </w:rPr>
      </w:pPr>
      <w:r>
        <w:rPr>
          <w:rFonts w:cs="Arial" w:ascii="Cambria" w:hAnsi="Cambria"/>
          <w:sz w:val="24"/>
          <w:szCs w:val="24"/>
        </w:rPr>
        <w:t xml:space="preserve">Carlson, R. W. (2011), Absolute Age Determinations: Radiometric BT – </w:t>
      </w:r>
      <w:r>
        <w:rPr>
          <w:rFonts w:cs="Arial" w:ascii="Cambria" w:hAnsi="Cambria"/>
          <w:i/>
          <w:iCs/>
          <w:sz w:val="24"/>
          <w:szCs w:val="24"/>
        </w:rPr>
        <w:t>Encyclopedia of Solid Earth Geophysics</w:t>
      </w:r>
      <w:r>
        <w:rPr>
          <w:rFonts w:cs="Arial" w:ascii="Cambria" w:hAnsi="Cambria"/>
          <w:sz w:val="24"/>
          <w:szCs w:val="24"/>
        </w:rPr>
        <w:t xml:space="preserve">, </w:t>
      </w:r>
      <w:r>
        <w:rPr>
          <w:rFonts w:cs="Arial" w:ascii="Cambria" w:hAnsi="Cambria"/>
          <w:i/>
          <w:iCs/>
          <w:sz w:val="24"/>
          <w:szCs w:val="24"/>
        </w:rPr>
        <w:t xml:space="preserve">in </w:t>
      </w:r>
      <w:r>
        <w:rPr>
          <w:rFonts w:cs="Arial" w:ascii="Cambria" w:hAnsi="Cambria"/>
          <w:sz w:val="24"/>
          <w:szCs w:val="24"/>
        </w:rPr>
        <w:t>Gupta, H.K. ed., Springer Netherlands, Dordrecht, p. 1–8.</w:t>
      </w:r>
    </w:p>
    <w:p>
      <w:pPr>
        <w:pStyle w:val="Normal"/>
        <w:tabs>
          <w:tab w:val="clear" w:pos="340"/>
        </w:tabs>
        <w:suppressAutoHyphens w:val="false"/>
        <w:spacing w:lineRule="exact" w:line="249" w:before="119" w:after="0"/>
        <w:ind w:left="720" w:right="0" w:hanging="720"/>
        <w:jc w:val="both"/>
        <w:rPr>
          <w:rFonts w:ascii="Cambria" w:hAnsi="Cambria"/>
        </w:rPr>
      </w:pPr>
      <w:r>
        <w:rPr>
          <w:rFonts w:cs="Arial" w:ascii="Cambria" w:hAnsi="Cambria"/>
          <w:sz w:val="24"/>
          <w:szCs w:val="24"/>
        </w:rPr>
        <w:t xml:space="preserve">Guenthner, W.R (2021), Implementation of an Alpha Damage Annealing Model for Zircon (U-Th)/He Thermochronology With Comparison to a Zircon Fission Track Annealing Model. </w:t>
      </w:r>
      <w:r>
        <w:rPr>
          <w:rFonts w:cs="Arial" w:ascii="Cambria" w:hAnsi="Cambria"/>
          <w:i/>
          <w:iCs/>
          <w:sz w:val="24"/>
          <w:szCs w:val="24"/>
        </w:rPr>
        <w:t>Geochemistry, Geophysics, Geosystems</w:t>
      </w:r>
      <w:r>
        <w:rPr>
          <w:rFonts w:cs="Arial" w:ascii="Cambria" w:hAnsi="Cambria"/>
          <w:sz w:val="24"/>
          <w:szCs w:val="24"/>
        </w:rPr>
        <w:t xml:space="preserve"> 22, e2019GC008757, doi:10.1029/2019GC008757.</w:t>
      </w:r>
    </w:p>
    <w:p>
      <w:pPr>
        <w:pStyle w:val="Normal"/>
        <w:tabs>
          <w:tab w:val="clear" w:pos="340"/>
        </w:tabs>
        <w:suppressAutoHyphens w:val="false"/>
        <w:spacing w:lineRule="exact" w:line="249" w:before="119" w:after="0"/>
        <w:ind w:left="720" w:right="0" w:hanging="720"/>
        <w:jc w:val="both"/>
        <w:rPr>
          <w:rFonts w:ascii="Cambria" w:hAnsi="Cambria"/>
        </w:rPr>
      </w:pPr>
      <w:r>
        <w:rPr>
          <w:rFonts w:cs="Calibri" w:ascii="Cambria" w:hAnsi="Cambria"/>
        </w:rPr>
        <w:t xml:space="preserve">Härtel, B., Jonckheere, R., Wauschkuhn, B., </w:t>
      </w:r>
      <w:r>
        <w:rPr>
          <w:rFonts w:eastAsia="NSimSun" w:cs="Calibri" w:ascii="Cambria" w:hAnsi="Cambria"/>
          <w:color w:val="000000"/>
          <w:kern w:val="2"/>
          <w:lang w:eastAsia="zh-CN" w:bidi="hi-IN"/>
        </w:rPr>
        <w:t>&amp;</w:t>
      </w:r>
      <w:r>
        <w:rPr>
          <w:rFonts w:cs="Calibri" w:ascii="Cambria" w:hAnsi="Cambria"/>
        </w:rPr>
        <w:t xml:space="preserve"> Ratschbacher, L. (2021), The closure temperature(s) of zircon Raman dating. </w:t>
      </w:r>
      <w:r>
        <w:rPr>
          <w:rFonts w:cs="Calibri" w:ascii="Cambria" w:hAnsi="Cambria"/>
          <w:i/>
          <w:iCs/>
        </w:rPr>
        <w:t>Geochronology</w:t>
      </w:r>
      <w:r>
        <w:rPr>
          <w:rFonts w:cs="Calibri" w:ascii="Cambria" w:hAnsi="Cambria"/>
        </w:rPr>
        <w:t xml:space="preserve"> 3, 259–272. https://doi.org/ 10.5194/gchron-3-259-2021.</w:t>
      </w:r>
    </w:p>
    <w:p>
      <w:pPr>
        <w:pStyle w:val="Normal"/>
        <w:tabs>
          <w:tab w:val="clear" w:pos="340"/>
        </w:tabs>
        <w:suppressAutoHyphens w:val="false"/>
        <w:spacing w:lineRule="exact" w:line="249" w:before="119" w:after="0"/>
        <w:ind w:left="720" w:right="0" w:hanging="720"/>
        <w:jc w:val="both"/>
        <w:rPr>
          <w:rFonts w:ascii="Cambria" w:hAnsi="Cambria"/>
          <w:color w:val="000000"/>
        </w:rPr>
      </w:pPr>
      <w:r>
        <w:rPr>
          <w:rFonts w:cs="Calibri" w:ascii="Cambria" w:hAnsi="Cambria"/>
          <w:color w:val="000000"/>
        </w:rPr>
        <w:t xml:space="preserve">Stacey, J. S., &amp; Kramers, J. D. (1975), Approximation of terrestrial lead isotope evolution by a two-stage model. </w:t>
      </w:r>
      <w:r>
        <w:rPr>
          <w:rFonts w:cs="Calibri" w:ascii="Cambria" w:hAnsi="Cambria"/>
          <w:i/>
          <w:color w:val="000000"/>
        </w:rPr>
        <w:t>Earth Planetary Science Letters</w:t>
      </w:r>
      <w:r>
        <w:rPr>
          <w:rFonts w:cs="Calibri" w:ascii="Cambria" w:hAnsi="Cambria"/>
          <w:color w:val="000000"/>
        </w:rPr>
        <w:t xml:space="preserve"> 26, 207–221.</w:t>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Cambr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75"/>
  <w:defaultTabStop w:val="34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a6a45"/>
    <w:pPr>
      <w:widowControl/>
      <w:suppressAutoHyphens w:val="true"/>
      <w:bidi w:val="0"/>
      <w:spacing w:before="0" w:after="20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extkrperZchn" w:customStyle="1">
    <w:name w:val="Textkörper Zchn"/>
    <w:basedOn w:val="DefaultParagraphFont"/>
    <w:link w:val="Textkrper"/>
    <w:qFormat/>
    <w:rsid w:val="00ca6a45"/>
    <w:rPr>
      <w:sz w:val="24"/>
      <w:szCs w:val="24"/>
      <w:lang w:val="en-US"/>
    </w:rPr>
  </w:style>
  <w:style w:type="character" w:styleId="TitelZchn" w:customStyle="1">
    <w:name w:val="Titel Zchn"/>
    <w:basedOn w:val="DefaultParagraphFont"/>
    <w:link w:val="Titel"/>
    <w:qFormat/>
    <w:rsid w:val="00ca6a45"/>
    <w:rPr>
      <w:rFonts w:ascii="Calibri Light" w:hAnsi="Calibri Light" w:eastAsia="" w:cs="" w:asciiTheme="majorHAnsi" w:cstheme="majorBidi" w:eastAsiaTheme="majorEastAsia" w:hAnsiTheme="majorHAnsi"/>
      <w:b/>
      <w:bCs/>
      <w:color w:val="2D4F8E" w:themeColor="accent1" w:themeShade="b5"/>
      <w:sz w:val="36"/>
      <w:szCs w:val="36"/>
      <w:lang w:val="en-US"/>
    </w:rPr>
  </w:style>
  <w:style w:type="character" w:styleId="KommentartextZchn" w:customStyle="1">
    <w:name w:val="Kommentartext Zchn"/>
    <w:basedOn w:val="DefaultParagraphFont"/>
    <w:link w:val="Kommentartext"/>
    <w:uiPriority w:val="99"/>
    <w:semiHidden/>
    <w:qFormat/>
    <w:rsid w:val="00ca6a45"/>
    <w:rPr>
      <w:rFonts w:cs="Mangal"/>
      <w:sz w:val="20"/>
      <w:szCs w:val="18"/>
    </w:rPr>
  </w:style>
  <w:style w:type="character" w:styleId="Annotationreference">
    <w:name w:val="annotation reference"/>
    <w:basedOn w:val="DefaultParagraphFont"/>
    <w:uiPriority w:val="99"/>
    <w:semiHidden/>
    <w:unhideWhenUsed/>
    <w:qFormat/>
    <w:rsid w:val="00ca6a45"/>
    <w:rPr>
      <w:sz w:val="16"/>
      <w:szCs w:val="16"/>
    </w:rPr>
  </w:style>
  <w:style w:type="character" w:styleId="KommentartextZchn1" w:customStyle="1">
    <w:name w:val="Kommentartext Zchn1"/>
    <w:basedOn w:val="DefaultParagraphFont"/>
    <w:uiPriority w:val="99"/>
    <w:semiHidden/>
    <w:qFormat/>
    <w:rsid w:val="00ca6a45"/>
    <w:rPr>
      <w:sz w:val="20"/>
      <w:szCs w:val="20"/>
      <w:lang w:val="en-US"/>
    </w:rPr>
  </w:style>
  <w:style w:type="character" w:styleId="SprechblasentextZchn" w:customStyle="1">
    <w:name w:val="Sprechblasentext Zchn"/>
    <w:basedOn w:val="DefaultParagraphFont"/>
    <w:link w:val="Sprechblasentext"/>
    <w:uiPriority w:val="99"/>
    <w:semiHidden/>
    <w:qFormat/>
    <w:rsid w:val="00ca6a45"/>
    <w:rPr>
      <w:rFonts w:ascii="Segoe UI" w:hAnsi="Segoe UI" w:cs="Segoe UI"/>
      <w:sz w:val="18"/>
      <w:szCs w:val="18"/>
      <w:lang w:val="en-US"/>
    </w:rPr>
  </w:style>
  <w:style w:type="character" w:styleId="KommentarthemaZchn" w:customStyle="1">
    <w:name w:val="Kommentarthema Zchn"/>
    <w:basedOn w:val="KommentartextZchn"/>
    <w:link w:val="Kommentarthema"/>
    <w:uiPriority w:val="99"/>
    <w:semiHidden/>
    <w:qFormat/>
    <w:rsid w:val="0088405e"/>
    <w:rPr>
      <w:rFonts w:cs="Mangal"/>
      <w:b/>
      <w:bCs/>
      <w:sz w:val="20"/>
      <w:szCs w:val="20"/>
      <w:lang w:val="en-US"/>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TextkrperZchn"/>
    <w:qFormat/>
    <w:rsid w:val="00ca6a45"/>
    <w:pPr>
      <w:spacing w:before="180" w:after="18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FirstParagraph" w:customStyle="1">
    <w:name w:val="First Paragraph"/>
    <w:basedOn w:val="TextBody"/>
    <w:next w:val="TextBody"/>
    <w:qFormat/>
    <w:rsid w:val="00ca6a45"/>
    <w:pPr/>
    <w:rPr/>
  </w:style>
  <w:style w:type="paragraph" w:styleId="Title">
    <w:name w:val="Title"/>
    <w:basedOn w:val="Normal"/>
    <w:next w:val="TextBody"/>
    <w:link w:val="TitelZchn"/>
    <w:qFormat/>
    <w:rsid w:val="00ca6a45"/>
    <w:pPr>
      <w:keepNext w:val="true"/>
      <w:keepLines/>
      <w:spacing w:before="480" w:after="240"/>
      <w:jc w:val="center"/>
    </w:pPr>
    <w:rPr>
      <w:rFonts w:ascii="Calibri Light" w:hAnsi="Calibri Light" w:eastAsia="" w:cs="" w:asciiTheme="majorHAnsi" w:cstheme="majorBidi" w:eastAsiaTheme="majorEastAsia" w:hAnsiTheme="majorHAnsi"/>
      <w:b/>
      <w:bCs/>
      <w:color w:val="2D4F8E" w:themeColor="accent1" w:themeShade="b5"/>
      <w:sz w:val="36"/>
      <w:szCs w:val="36"/>
    </w:rPr>
  </w:style>
  <w:style w:type="paragraph" w:styleId="Annotationtext">
    <w:name w:val="annotation text"/>
    <w:basedOn w:val="Normal"/>
    <w:link w:val="KommentartextZchn"/>
    <w:uiPriority w:val="99"/>
    <w:semiHidden/>
    <w:unhideWhenUsed/>
    <w:qFormat/>
    <w:rsid w:val="00ca6a45"/>
    <w:pPr>
      <w:spacing w:before="0" w:after="0"/>
    </w:pPr>
    <w:rPr>
      <w:rFonts w:cs="Mangal"/>
      <w:sz w:val="20"/>
      <w:szCs w:val="18"/>
      <w:lang w:val="de-DE"/>
    </w:rPr>
  </w:style>
  <w:style w:type="paragraph" w:styleId="BalloonText">
    <w:name w:val="Balloon Text"/>
    <w:basedOn w:val="Normal"/>
    <w:link w:val="SprechblasentextZchn"/>
    <w:uiPriority w:val="99"/>
    <w:semiHidden/>
    <w:unhideWhenUsed/>
    <w:qFormat/>
    <w:rsid w:val="00ca6a45"/>
    <w:pPr>
      <w:spacing w:before="0" w:after="0"/>
    </w:pPr>
    <w:rPr>
      <w:rFonts w:ascii="Segoe UI" w:hAnsi="Segoe UI" w:cs="Segoe UI"/>
      <w:sz w:val="18"/>
      <w:szCs w:val="18"/>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Annotationsubject">
    <w:name w:val="annotation subject"/>
    <w:basedOn w:val="Annotationtext"/>
    <w:next w:val="Annotationtext"/>
    <w:link w:val="KommentarthemaZchn"/>
    <w:uiPriority w:val="99"/>
    <w:semiHidden/>
    <w:unhideWhenUsed/>
    <w:qFormat/>
    <w:rsid w:val="0088405e"/>
    <w:pPr>
      <w:spacing w:before="0" w:after="200"/>
    </w:pPr>
    <w:rPr>
      <w:rFonts w:cs="" w:cstheme="minorBidi"/>
      <w:b/>
      <w:bCs/>
      <w:szCs w:val="20"/>
      <w:lang w:val="en-U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Application>LibreOffice/7.2.2.2$MacOSX_X86_64 LibreOffice_project/02b2acce88a210515b4a5bb2e46cbfb63fe97d56</Application>
  <AppVersion>15.0000</AppVersion>
  <Pages>3</Pages>
  <Words>1687</Words>
  <Characters>9317</Characters>
  <CharactersWithSpaces>10979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2021-12-16T12:44:00Z</dcterms:created>
  <dc:creator>Ratschbacher Lothar</dc:creator>
  <dc:description/>
  <dc:language>en-US</dc:language>
  <cp:lastModifiedBy/>
  <dcterms:modified xsi:type="dcterms:W3CDTF">2021-12-17T10:19:26Z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